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2513">
      <w:pPr>
        <w:jc w:val="center"/>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天津工业大学硕士研究生入学考试业务课考试大纲</w:t>
      </w:r>
    </w:p>
    <w:p w14:paraId="4CA0514C">
      <w:pPr>
        <w:jc w:val="center"/>
        <w:rPr>
          <w:color w:val="000000" w:themeColor="text1"/>
          <w:szCs w:val="21"/>
          <w14:textFill>
            <w14:solidFill>
              <w14:schemeClr w14:val="tx1"/>
            </w14:solidFill>
          </w14:textFill>
        </w:rPr>
      </w:pPr>
    </w:p>
    <w:p w14:paraId="3D5BB324">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科目编号：</w:t>
      </w:r>
      <w:r>
        <w:rPr>
          <w:color w:val="000000" w:themeColor="text1"/>
          <w14:textFill>
            <w14:solidFill>
              <w14:schemeClr w14:val="tx1"/>
            </w14:solidFill>
          </w14:textFill>
        </w:rPr>
        <w:t xml:space="preserve">830                                                  </w:t>
      </w:r>
      <w:r>
        <w:rPr>
          <w:rFonts w:hint="eastAsia"/>
          <w:color w:val="000000" w:themeColor="text1"/>
          <w14:textFill>
            <w14:solidFill>
              <w14:schemeClr w14:val="tx1"/>
            </w14:solidFill>
          </w14:textFill>
        </w:rPr>
        <w:t>科目名称：管理学</w:t>
      </w:r>
    </w:p>
    <w:p w14:paraId="01F44074">
      <w:pPr>
        <w:spacing w:line="40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一、考试的总体要求</w:t>
      </w:r>
    </w:p>
    <w:p w14:paraId="1259437D">
      <w:pPr>
        <w:spacing w:line="400" w:lineRule="exact"/>
        <w:ind w:firstLine="420" w:firstLineChars="200"/>
        <w:rPr>
          <w:szCs w:val="21"/>
        </w:rPr>
      </w:pPr>
      <w:r>
        <w:rPr>
          <w:rFonts w:hint="eastAsia"/>
          <w:color w:val="000000" w:themeColor="text1"/>
          <w:szCs w:val="21"/>
          <w14:textFill>
            <w14:solidFill>
              <w14:schemeClr w14:val="tx1"/>
            </w14:solidFill>
          </w14:textFill>
        </w:rPr>
        <w:t>“管理学”考试是为工商管理学术硕士招生而设置的选拔性考试，其指导思想是为了选拔具有扎实的管理学理论基础的高素质人才。要求考生应全面系统地了解管理学的学科体系，能联系实际理解企业、领导、管理（包括决策、计划、组织、控制）等基本概念和原理；并能熟练运用上述有关理论和方法，分析具体管理对象中的实际问题，</w:t>
      </w:r>
      <w:r>
        <w:rPr>
          <w:rFonts w:hint="eastAsia"/>
          <w:szCs w:val="21"/>
        </w:rPr>
        <w:t>关注新技术对管理的影响。</w:t>
      </w:r>
    </w:p>
    <w:p w14:paraId="057EBF60">
      <w:pPr>
        <w:spacing w:line="400" w:lineRule="exact"/>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二、考试内容</w:t>
      </w:r>
    </w:p>
    <w:p w14:paraId="6A806964">
      <w:pPr>
        <w:spacing w:line="400" w:lineRule="exact"/>
        <w:ind w:left="780" w:leftChars="221" w:hanging="316" w:hangingChars="1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第一篇：总论</w:t>
      </w:r>
    </w:p>
    <w:p w14:paraId="5B57FEEA">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（一）管理与管理学。</w:t>
      </w:r>
      <w:r>
        <w:rPr>
          <w:rFonts w:hint="eastAsia" w:ascii="宋体" w:hAnsi="宋体"/>
          <w:color w:val="auto"/>
          <w:szCs w:val="21"/>
        </w:rPr>
        <w:t>掌握管理活动具有的基本的职能、管理属性二重性的基本内涵、掌握管理者的角色和技能的基本内涵。</w:t>
      </w:r>
    </w:p>
    <w:p w14:paraId="59DB2BD3">
      <w:pPr>
        <w:spacing w:line="400" w:lineRule="exact"/>
        <w:ind w:firstLine="420" w:firstLineChars="200"/>
        <w:rPr>
          <w:rFonts w:ascii="宋体" w:hAnsi="宋体"/>
          <w:strike w:val="0"/>
          <w:dstrike w:val="0"/>
          <w:color w:val="C00000"/>
          <w:szCs w:val="21"/>
        </w:rPr>
      </w:pPr>
      <w:r>
        <w:rPr>
          <w:rFonts w:hint="eastAsia" w:ascii="宋体" w:hAnsi="宋体"/>
          <w:color w:val="000000" w:themeColor="text1"/>
          <w:szCs w:val="21"/>
          <w14:textFill>
            <w14:solidFill>
              <w14:schemeClr w14:val="tx1"/>
            </w14:solidFill>
          </w14:textFill>
        </w:rPr>
        <w:t>（二）管理思想的发展。</w:t>
      </w:r>
      <w:r>
        <w:rPr>
          <w:rFonts w:hint="eastAsia" w:ascii="宋体" w:hAnsi="宋体"/>
          <w:strike w:val="0"/>
          <w:dstrike w:val="0"/>
          <w:color w:val="auto"/>
          <w:szCs w:val="21"/>
        </w:rPr>
        <w:t>了解中国和西方传统以及现代管理思想；掌握泰罗的科学管理</w:t>
      </w:r>
      <w:r>
        <w:rPr>
          <w:rFonts w:hint="eastAsia" w:ascii="宋体" w:hAnsi="宋体"/>
          <w:strike w:val="0"/>
          <w:dstrike w:val="0"/>
          <w:color w:val="auto"/>
          <w:szCs w:val="21"/>
          <w:lang w:val="en-US" w:eastAsia="zh-CN"/>
        </w:rPr>
        <w:t>理</w:t>
      </w:r>
      <w:bookmarkStart w:id="0" w:name="_GoBack"/>
      <w:bookmarkEnd w:id="0"/>
      <w:r>
        <w:rPr>
          <w:rFonts w:hint="eastAsia" w:ascii="宋体" w:hAnsi="宋体"/>
          <w:strike w:val="0"/>
          <w:dstrike w:val="0"/>
          <w:color w:val="auto"/>
          <w:szCs w:val="21"/>
        </w:rPr>
        <w:t>论的基本观点、法约尔的经营六职能、法约尔的管理五要素；掌握人群关系理论（人际关系理论）、马斯洛的需要层次理论、赫茨伯格的双因素理论、X\Y 理论。</w:t>
      </w:r>
    </w:p>
    <w:p w14:paraId="060004F7">
      <w:pPr>
        <w:spacing w:line="400" w:lineRule="exact"/>
        <w:ind w:firstLine="420" w:firstLineChars="200"/>
        <w:rPr>
          <w:rFonts w:ascii="宋体" w:hAnsi="宋体"/>
          <w:strike/>
          <w:dstrike w:val="0"/>
          <w:color w:val="auto"/>
          <w:szCs w:val="21"/>
        </w:rPr>
      </w:pPr>
      <w:r>
        <w:rPr>
          <w:rFonts w:hint="eastAsia" w:ascii="宋体" w:hAnsi="宋体"/>
          <w:color w:val="000000" w:themeColor="text1"/>
          <w:szCs w:val="21"/>
          <w14:textFill>
            <w14:solidFill>
              <w14:schemeClr w14:val="tx1"/>
            </w14:solidFill>
          </w14:textFill>
        </w:rPr>
        <w:t>（三）管理的基本原理。</w:t>
      </w:r>
      <w:r>
        <w:rPr>
          <w:rFonts w:hint="eastAsia" w:ascii="宋体" w:hAnsi="宋体"/>
          <w:strike w:val="0"/>
          <w:dstrike w:val="0"/>
          <w:color w:val="auto"/>
          <w:szCs w:val="21"/>
        </w:rPr>
        <w:t>掌握管理原理的主要特征；掌握系统原理的基本内容、人本原理的基本内容；理解掌握责、权、利和能力四者之间的关系；掌握责任原理的基本内容、效益原理的基本内容。</w:t>
      </w:r>
    </w:p>
    <w:p w14:paraId="482D2F2B">
      <w:pPr>
        <w:spacing w:line="400" w:lineRule="exact"/>
        <w:ind w:firstLine="420" w:firstLineChars="200"/>
        <w:rPr>
          <w:rFonts w:ascii="宋体" w:hAnsi="宋体"/>
          <w:strike w:val="0"/>
          <w:color w:val="auto"/>
          <w:szCs w:val="21"/>
        </w:rPr>
      </w:pPr>
      <w:r>
        <w:rPr>
          <w:rFonts w:hint="eastAsia" w:ascii="宋体" w:hAnsi="宋体"/>
          <w:color w:val="000000" w:themeColor="text1"/>
          <w:szCs w:val="21"/>
          <w14:textFill>
            <w14:solidFill>
              <w14:schemeClr w14:val="tx1"/>
            </w14:solidFill>
          </w14:textFill>
        </w:rPr>
        <w:t>（四）管理道德与社会责任。</w:t>
      </w:r>
      <w:r>
        <w:rPr>
          <w:rFonts w:hint="eastAsia" w:ascii="宋体" w:hAnsi="宋体"/>
          <w:strike w:val="0"/>
          <w:dstrike w:val="0"/>
          <w:color w:val="auto"/>
          <w:szCs w:val="21"/>
        </w:rPr>
        <w:t>掌握伦理、管理道德、企业社会责任、社会网络等概念；理解几种相关的道德观、道德管理和影响管理的道德因素、改善企业道德行为的途径；理解企业应如何担负社会责任。</w:t>
      </w:r>
    </w:p>
    <w:p w14:paraId="48AFDC55">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（五）管理的基本方法。</w:t>
      </w:r>
      <w:r>
        <w:rPr>
          <w:rFonts w:hint="eastAsia" w:ascii="宋体" w:hAnsi="宋体"/>
          <w:color w:val="000000" w:themeColor="text1"/>
          <w:szCs w:val="21"/>
          <w:lang w:val="en-US" w:eastAsia="zh-CN"/>
          <w14:textFill>
            <w14:solidFill>
              <w14:schemeClr w14:val="tx1"/>
            </w14:solidFill>
          </w14:textFill>
        </w:rPr>
        <w:t>理解</w:t>
      </w:r>
      <w:r>
        <w:rPr>
          <w:rFonts w:hint="eastAsia" w:ascii="宋体" w:hAnsi="宋体"/>
          <w:strike w:val="0"/>
          <w:dstrike w:val="0"/>
          <w:color w:val="auto"/>
          <w:szCs w:val="21"/>
        </w:rPr>
        <w:t>管理的方法论、管理的法律方法、管理的行政方法、管理的经济方法、管理的教育方法、管理的技术方法。</w:t>
      </w:r>
    </w:p>
    <w:p w14:paraId="08776595">
      <w:pPr>
        <w:spacing w:line="400" w:lineRule="exact"/>
        <w:ind w:left="780" w:leftChars="221" w:hanging="316" w:hangingChars="1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第二篇：决策</w:t>
      </w:r>
    </w:p>
    <w:p w14:paraId="6780BA40">
      <w:pPr>
        <w:spacing w:line="400" w:lineRule="exact"/>
        <w:ind w:firstLine="420" w:firstLineChars="200"/>
        <w:rPr>
          <w:rFonts w:ascii="宋体" w:hAnsi="宋体"/>
          <w:color w:val="C00000"/>
          <w:szCs w:val="21"/>
        </w:rPr>
      </w:pPr>
      <w:r>
        <w:rPr>
          <w:rFonts w:hint="eastAsia" w:ascii="宋体" w:hAnsi="宋体"/>
          <w:color w:val="000000" w:themeColor="text1"/>
          <w:szCs w:val="21"/>
          <w14:textFill>
            <w14:solidFill>
              <w14:schemeClr w14:val="tx1"/>
            </w14:solidFill>
          </w14:textFill>
        </w:rPr>
        <w:t>（一）决策。</w:t>
      </w:r>
      <w:r>
        <w:rPr>
          <w:rFonts w:hint="eastAsia" w:ascii="宋体" w:hAnsi="宋体"/>
          <w:color w:val="auto"/>
          <w:szCs w:val="21"/>
        </w:rPr>
        <w:t>掌握决策的定义、分类及特点；掌握决策的过程、决策的影响因素、决策的方法及其主要内容；掌握量本利分析法的基本思想和方法、理解决策树法的基本思想和方法、掌握几种不确定型决策方法的主要内容。</w:t>
      </w:r>
    </w:p>
    <w:p w14:paraId="50762122">
      <w:pPr>
        <w:spacing w:line="400" w:lineRule="exact"/>
        <w:ind w:firstLine="420" w:firstLineChars="200"/>
        <w:rPr>
          <w:rFonts w:ascii="宋体" w:hAnsi="宋体"/>
          <w:strike w:val="0"/>
          <w:color w:val="auto"/>
          <w:szCs w:val="21"/>
        </w:rPr>
      </w:pPr>
      <w:r>
        <w:rPr>
          <w:rFonts w:hint="eastAsia" w:ascii="宋体" w:hAnsi="宋体"/>
          <w:color w:val="000000" w:themeColor="text1"/>
          <w:szCs w:val="21"/>
          <w14:textFill>
            <w14:solidFill>
              <w14:schemeClr w14:val="tx1"/>
            </w14:solidFill>
          </w14:textFill>
        </w:rPr>
        <w:t>（二）计划与计划工作。</w:t>
      </w:r>
      <w:r>
        <w:rPr>
          <w:rFonts w:hint="eastAsia" w:ascii="宋体" w:hAnsi="宋体"/>
          <w:strike w:val="0"/>
          <w:dstrike w:val="0"/>
          <w:color w:val="auto"/>
          <w:szCs w:val="21"/>
        </w:rPr>
        <w:t>掌握计划的概念；理解计划的性质、计划的层次体系；掌握计划的分类、计划编制过程；掌握企业业务流程再造的概念。</w:t>
      </w:r>
    </w:p>
    <w:p w14:paraId="5EE2072B">
      <w:pPr>
        <w:spacing w:line="400" w:lineRule="exact"/>
        <w:ind w:firstLine="420" w:firstLineChars="200"/>
        <w:rPr>
          <w:rFonts w:ascii="宋体" w:hAnsi="宋体"/>
          <w:strike/>
          <w:dstrike w:val="0"/>
          <w:color w:val="C00000"/>
          <w:szCs w:val="21"/>
        </w:rPr>
      </w:pPr>
      <w:r>
        <w:rPr>
          <w:rFonts w:hint="eastAsia" w:ascii="宋体" w:hAnsi="宋体"/>
          <w:color w:val="000000" w:themeColor="text1"/>
          <w:szCs w:val="21"/>
          <w14:textFill>
            <w14:solidFill>
              <w14:schemeClr w14:val="tx1"/>
            </w14:solidFill>
          </w14:textFill>
        </w:rPr>
        <w:t>（三）计划的实施。</w:t>
      </w:r>
      <w:r>
        <w:rPr>
          <w:rFonts w:hint="eastAsia" w:ascii="宋体" w:hAnsi="宋体"/>
          <w:strike w:val="0"/>
          <w:dstrike w:val="0"/>
          <w:color w:val="auto"/>
          <w:szCs w:val="21"/>
        </w:rPr>
        <w:t>掌握目标管理的基本思想及其过程；掌握滚动计划法的基本思想、了解网络图的基本构成及绘制方法。</w:t>
      </w:r>
    </w:p>
    <w:p w14:paraId="2039D317">
      <w:pPr>
        <w:spacing w:line="400" w:lineRule="exact"/>
        <w:ind w:left="780" w:leftChars="221" w:hanging="316" w:hangingChars="1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第三篇：组织</w:t>
      </w:r>
    </w:p>
    <w:p w14:paraId="6563E45B">
      <w:pPr>
        <w:spacing w:line="400" w:lineRule="exact"/>
        <w:ind w:firstLine="420" w:firstLineChars="200"/>
        <w:rPr>
          <w:rFonts w:ascii="宋体" w:hAnsi="宋体"/>
          <w:strike w:val="0"/>
          <w:dstrike w:val="0"/>
          <w:color w:val="C00000"/>
          <w:szCs w:val="21"/>
        </w:rPr>
      </w:pPr>
      <w:r>
        <w:rPr>
          <w:rFonts w:hint="eastAsia" w:ascii="宋体" w:hAnsi="宋体"/>
          <w:color w:val="000000" w:themeColor="text1"/>
          <w:szCs w:val="21"/>
          <w14:textFill>
            <w14:solidFill>
              <w14:schemeClr w14:val="tx1"/>
            </w14:solidFill>
          </w14:textFill>
        </w:rPr>
        <w:t>（一）组织设计。</w:t>
      </w:r>
      <w:r>
        <w:rPr>
          <w:rFonts w:hint="eastAsia" w:ascii="宋体" w:hAnsi="宋体"/>
          <w:strike w:val="0"/>
          <w:dstrike w:val="0"/>
          <w:color w:val="auto"/>
          <w:szCs w:val="21"/>
        </w:rPr>
        <w:t>掌握管理幅度、管理层次与组织形态的关系；掌握扁平形组织结构的基本特点；掌握锥形组织结构的基本特点；掌握影响管理幅度的因素；掌握影响组织设计的因素；掌握组织设计的基本原则；掌握理解几种组织结构的含义；掌握组织过分集权弊端。</w:t>
      </w:r>
    </w:p>
    <w:p w14:paraId="443C7071">
      <w:pPr>
        <w:spacing w:line="400" w:lineRule="exact"/>
        <w:ind w:firstLine="420" w:firstLineChars="200"/>
        <w:rPr>
          <w:rFonts w:ascii="宋体" w:hAnsi="宋体"/>
          <w:strike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（二）人员配备。</w:t>
      </w:r>
      <w:r>
        <w:rPr>
          <w:rFonts w:hint="eastAsia" w:ascii="宋体" w:hAnsi="宋体"/>
          <w:strike w:val="0"/>
          <w:dstrike w:val="0"/>
          <w:color w:val="auto"/>
          <w:szCs w:val="21"/>
        </w:rPr>
        <w:t>掌握人员配备的原则；了解管理人员来源的方式及优缺点。</w:t>
      </w:r>
    </w:p>
    <w:p w14:paraId="5DB282C7">
      <w:pPr>
        <w:spacing w:line="400" w:lineRule="exact"/>
        <w:ind w:firstLine="420" w:firstLineChars="200"/>
        <w:rPr>
          <w:rFonts w:ascii="宋体" w:hAnsi="宋体"/>
          <w:strike w:val="0"/>
          <w:dstrike w:val="0"/>
          <w:color w:val="C00000"/>
          <w:szCs w:val="21"/>
        </w:rPr>
      </w:pPr>
      <w:r>
        <w:rPr>
          <w:rFonts w:hint="eastAsia" w:ascii="宋体" w:hAnsi="宋体"/>
          <w:color w:val="000000" w:themeColor="text1"/>
          <w:szCs w:val="21"/>
          <w14:textFill>
            <w14:solidFill>
              <w14:schemeClr w14:val="tx1"/>
            </w14:solidFill>
          </w14:textFill>
        </w:rPr>
        <w:t>（三）组织力量的整合。</w:t>
      </w:r>
      <w:r>
        <w:rPr>
          <w:rFonts w:hint="eastAsia" w:ascii="宋体" w:hAnsi="宋体"/>
          <w:strike w:val="0"/>
          <w:dstrike w:val="0"/>
          <w:color w:val="auto"/>
          <w:szCs w:val="21"/>
        </w:rPr>
        <w:t>掌握正式组织与非正式组织的区别；掌握非正式组织对正式组织的积极作用和不利影响；了解掌握发挥非正式组织作用的途径。</w:t>
      </w:r>
    </w:p>
    <w:p w14:paraId="38F66387">
      <w:pPr>
        <w:spacing w:line="400" w:lineRule="exact"/>
        <w:ind w:firstLine="420" w:firstLineChars="200"/>
        <w:rPr>
          <w:rFonts w:ascii="宋体" w:hAnsi="宋体"/>
          <w:strike w:val="0"/>
          <w:color w:val="auto"/>
          <w:szCs w:val="21"/>
        </w:rPr>
      </w:pPr>
      <w:r>
        <w:rPr>
          <w:rFonts w:hint="eastAsia" w:ascii="宋体" w:hAnsi="宋体"/>
          <w:color w:val="000000" w:themeColor="text1"/>
          <w:szCs w:val="21"/>
          <w14:textFill>
            <w14:solidFill>
              <w14:schemeClr w14:val="tx1"/>
            </w14:solidFill>
          </w14:textFill>
        </w:rPr>
        <w:t>（四）组织变革与组织文化。</w:t>
      </w:r>
      <w:r>
        <w:rPr>
          <w:rFonts w:hint="eastAsia" w:ascii="宋体" w:hAnsi="宋体"/>
          <w:strike w:val="0"/>
          <w:dstrike w:val="0"/>
          <w:color w:val="auto"/>
          <w:szCs w:val="21"/>
        </w:rPr>
        <w:t>理解组织变革的一般规律、理解管理组织变革、理解组织文化及其发展。</w:t>
      </w:r>
    </w:p>
    <w:p w14:paraId="2450036E">
      <w:pPr>
        <w:spacing w:line="400" w:lineRule="exact"/>
        <w:ind w:left="780" w:leftChars="221" w:hanging="316" w:hangingChars="1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第四篇：领导</w:t>
      </w:r>
    </w:p>
    <w:p w14:paraId="2CA06575">
      <w:pPr>
        <w:spacing w:line="400" w:lineRule="exact"/>
        <w:ind w:firstLine="420" w:firstLineChars="200"/>
        <w:rPr>
          <w:rFonts w:ascii="宋体" w:hAnsi="宋体"/>
          <w:strike/>
          <w:dstrike w:val="0"/>
          <w:color w:val="C00000"/>
          <w:szCs w:val="21"/>
        </w:rPr>
      </w:pPr>
      <w:r>
        <w:rPr>
          <w:rFonts w:hint="eastAsia" w:ascii="宋体" w:hAnsi="宋体"/>
          <w:color w:val="000000" w:themeColor="text1"/>
          <w:szCs w:val="21"/>
          <w14:textFill>
            <w14:solidFill>
              <w14:schemeClr w14:val="tx1"/>
            </w14:solidFill>
          </w14:textFill>
        </w:rPr>
        <w:t>（一）领导与领导者。</w:t>
      </w:r>
      <w:r>
        <w:rPr>
          <w:rFonts w:hint="eastAsia" w:ascii="宋体" w:hAnsi="宋体"/>
          <w:strike w:val="0"/>
          <w:dstrike w:val="0"/>
          <w:color w:val="auto"/>
          <w:szCs w:val="21"/>
        </w:rPr>
        <w:t>掌握领导的作用、领导方式基本类型；理解坦南鲍姆和施米特的领导方式连续统一体理论的分析标准与内容；理解布莱克和穆顿的管理方格理论的分析标准与内容；掌握菲德勒的领导权变理论的分析标准与内容。</w:t>
      </w:r>
    </w:p>
    <w:p w14:paraId="206112D2">
      <w:pPr>
        <w:spacing w:line="400" w:lineRule="exact"/>
        <w:ind w:firstLine="420" w:firstLineChars="200"/>
        <w:rPr>
          <w:rFonts w:ascii="宋体" w:hAnsi="宋体"/>
          <w:color w:val="auto"/>
          <w:szCs w:val="21"/>
        </w:rPr>
      </w:pPr>
      <w:r>
        <w:rPr>
          <w:rFonts w:hint="eastAsia" w:ascii="宋体" w:hAnsi="宋体"/>
          <w:color w:val="000000" w:themeColor="text1"/>
          <w:szCs w:val="21"/>
          <w14:textFill>
            <w14:solidFill>
              <w14:schemeClr w14:val="tx1"/>
            </w14:solidFill>
          </w14:textFill>
        </w:rPr>
        <w:t>（二）激励。</w:t>
      </w:r>
      <w:r>
        <w:rPr>
          <w:rFonts w:hint="eastAsia" w:ascii="宋体" w:hAnsi="宋体"/>
          <w:strike w:val="0"/>
          <w:dstrike w:val="0"/>
          <w:color w:val="auto"/>
          <w:szCs w:val="21"/>
        </w:rPr>
        <w:t>理解激励过程；掌握马斯洛的需要层次理论的基本内容、弗鲁姆的期望理论的基本内容、亚当斯的公平理论的基本内容、斯金纳的强化理论的基本内容；了解波特和劳勒的综合激励模型的基本内容。</w:t>
      </w:r>
    </w:p>
    <w:p w14:paraId="471BC98C">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（三）沟通理论。</w:t>
      </w:r>
      <w:r>
        <w:rPr>
          <w:rFonts w:hint="eastAsia" w:ascii="宋体" w:hAnsi="宋体"/>
          <w:color w:val="000000" w:themeColor="text1"/>
          <w:szCs w:val="21"/>
          <w:lang w:val="en-US" w:eastAsia="zh-CN"/>
          <w14:textFill>
            <w14:solidFill>
              <w14:schemeClr w14:val="tx1"/>
            </w14:solidFill>
          </w14:textFill>
        </w:rPr>
        <w:t>掌握</w:t>
      </w:r>
      <w:r>
        <w:rPr>
          <w:rFonts w:hint="eastAsia" w:ascii="宋体" w:hAnsi="宋体"/>
          <w:color w:val="000000" w:themeColor="text1"/>
          <w:szCs w:val="21"/>
          <w14:textFill>
            <w14:solidFill>
              <w14:schemeClr w14:val="tx1"/>
            </w14:solidFill>
          </w14:textFill>
        </w:rPr>
        <w:t>组织中的沟通、沟通的障碍及其克服、冲突与谈判。</w:t>
      </w:r>
    </w:p>
    <w:p w14:paraId="100FCFBC">
      <w:pPr>
        <w:spacing w:line="400" w:lineRule="exact"/>
        <w:ind w:left="780" w:leftChars="221" w:hanging="316" w:hangingChars="1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第五篇：控制</w:t>
      </w:r>
    </w:p>
    <w:p w14:paraId="49A12AE6">
      <w:pPr>
        <w:spacing w:line="400" w:lineRule="exact"/>
        <w:ind w:firstLine="420" w:firstLineChars="200"/>
        <w:rPr>
          <w:rFonts w:ascii="宋体" w:hAnsi="宋体"/>
          <w:color w:val="auto"/>
          <w:szCs w:val="21"/>
        </w:rPr>
      </w:pPr>
      <w:r>
        <w:rPr>
          <w:rFonts w:hint="eastAsia" w:ascii="宋体" w:hAnsi="宋体"/>
          <w:color w:val="000000" w:themeColor="text1"/>
          <w:szCs w:val="21"/>
          <w14:textFill>
            <w14:solidFill>
              <w14:schemeClr w14:val="tx1"/>
            </w14:solidFill>
          </w14:textFill>
        </w:rPr>
        <w:t>（一）控制与控制过程。</w:t>
      </w:r>
      <w:r>
        <w:rPr>
          <w:rFonts w:hint="eastAsia" w:ascii="宋体" w:hAnsi="宋体"/>
          <w:strike w:val="0"/>
          <w:dstrike w:val="0"/>
          <w:color w:val="auto"/>
          <w:szCs w:val="21"/>
        </w:rPr>
        <w:t>理解控制的基本原理；掌握预先控制、现场控制和成果控制的内涵，掌握有效控制的基本特征；掌握控制过程的基本内容；了解如何选择控制的重点；理解危机与管理控制；了解制定控制标准的方法。</w:t>
      </w:r>
    </w:p>
    <w:p w14:paraId="2473A921">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（二）控制方法。</w:t>
      </w:r>
      <w:r>
        <w:rPr>
          <w:rFonts w:hint="eastAsia" w:ascii="宋体" w:hAnsi="宋体"/>
          <w:color w:val="000000" w:themeColor="text1"/>
          <w:szCs w:val="21"/>
          <w:lang w:val="en-US" w:eastAsia="zh-CN"/>
          <w14:textFill>
            <w14:solidFill>
              <w14:schemeClr w14:val="tx1"/>
            </w14:solidFill>
          </w14:textFill>
        </w:rPr>
        <w:t>了解</w:t>
      </w:r>
      <w:r>
        <w:rPr>
          <w:rFonts w:hint="eastAsia" w:ascii="宋体" w:hAnsi="宋体"/>
          <w:color w:val="000000" w:themeColor="text1"/>
          <w:szCs w:val="21"/>
          <w14:textFill>
            <w14:solidFill>
              <w14:schemeClr w14:val="tx1"/>
            </w14:solidFill>
          </w14:textFill>
        </w:rPr>
        <w:t>预算控制、非预算控制、成本控制、标杆管理、平衡记分卡。</w:t>
      </w:r>
    </w:p>
    <w:p w14:paraId="0A45777C">
      <w:pPr>
        <w:spacing w:line="40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第六篇：创新</w:t>
      </w:r>
    </w:p>
    <w:p w14:paraId="107C79BE">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（一）创新的基本内容、创新的过程和组织。</w:t>
      </w:r>
      <w:r>
        <w:rPr>
          <w:rFonts w:hint="eastAsia" w:ascii="宋体" w:hAnsi="宋体"/>
          <w:color w:val="000000" w:themeColor="text1"/>
          <w:szCs w:val="21"/>
          <w:lang w:val="en-US" w:eastAsia="zh-CN"/>
          <w14:textFill>
            <w14:solidFill>
              <w14:schemeClr w14:val="tx1"/>
            </w14:solidFill>
          </w14:textFill>
        </w:rPr>
        <w:t>掌握</w:t>
      </w:r>
      <w:r>
        <w:rPr>
          <w:rFonts w:hint="eastAsia" w:ascii="宋体" w:hAnsi="宋体"/>
          <w:color w:val="000000" w:themeColor="text1"/>
          <w:szCs w:val="21"/>
          <w14:textFill>
            <w14:solidFill>
              <w14:schemeClr w14:val="tx1"/>
            </w14:solidFill>
          </w14:textFill>
        </w:rPr>
        <w:t>创新的基本内容、创新的过程和组织</w:t>
      </w:r>
      <w:r>
        <w:rPr>
          <w:rFonts w:hint="eastAsia" w:ascii="宋体" w:hAnsi="宋体"/>
          <w:color w:val="000000" w:themeColor="text1"/>
          <w:szCs w:val="21"/>
          <w:lang w:eastAsia="zh-CN"/>
          <w14:textFill>
            <w14:solidFill>
              <w14:schemeClr w14:val="tx1"/>
            </w14:solidFill>
          </w14:textFill>
        </w:rPr>
        <w:t>。</w:t>
      </w:r>
    </w:p>
    <w:p w14:paraId="22AEA869">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（二）互联网的特征、智能制造。</w:t>
      </w:r>
      <w:r>
        <w:rPr>
          <w:rFonts w:hint="eastAsia" w:ascii="宋体" w:hAnsi="宋体"/>
          <w:color w:val="000000" w:themeColor="text1"/>
          <w:szCs w:val="21"/>
          <w:lang w:val="en-US" w:eastAsia="zh-CN"/>
          <w14:textFill>
            <w14:solidFill>
              <w14:schemeClr w14:val="tx1"/>
            </w14:solidFill>
          </w14:textFill>
        </w:rPr>
        <w:t>掌握</w:t>
      </w:r>
      <w:r>
        <w:rPr>
          <w:rFonts w:hint="eastAsia" w:ascii="宋体" w:hAnsi="宋体"/>
          <w:color w:val="000000" w:themeColor="text1"/>
          <w:szCs w:val="21"/>
          <w14:textFill>
            <w14:solidFill>
              <w14:schemeClr w14:val="tx1"/>
            </w14:solidFill>
          </w14:textFill>
        </w:rPr>
        <w:t>互联网的特征、智能制造</w:t>
      </w:r>
      <w:r>
        <w:rPr>
          <w:rFonts w:hint="eastAsia" w:ascii="宋体" w:hAnsi="宋体"/>
          <w:color w:val="000000" w:themeColor="text1"/>
          <w:szCs w:val="21"/>
          <w:lang w:eastAsia="zh-CN"/>
          <w14:textFill>
            <w14:solidFill>
              <w14:schemeClr w14:val="tx1"/>
            </w14:solidFill>
          </w14:textFill>
        </w:rPr>
        <w:t>。</w:t>
      </w:r>
    </w:p>
    <w:p w14:paraId="042C2AC3">
      <w:pPr>
        <w:spacing w:line="4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三、考试的题型及比例</w:t>
      </w:r>
    </w:p>
    <w:p w14:paraId="2D71312A">
      <w:pPr>
        <w:spacing w:line="400" w:lineRule="exact"/>
        <w:ind w:left="779" w:leftChars="221"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1．概念解释题约50分</w:t>
      </w:r>
    </w:p>
    <w:p w14:paraId="6A77E62E">
      <w:pPr>
        <w:spacing w:line="400" w:lineRule="exact"/>
        <w:ind w:left="779" w:leftChars="221"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2．简答题约50分</w:t>
      </w:r>
    </w:p>
    <w:p w14:paraId="14C66F52">
      <w:pPr>
        <w:spacing w:line="400" w:lineRule="exact"/>
        <w:ind w:left="779" w:leftChars="221"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3．论述、案例题约50分</w:t>
      </w:r>
    </w:p>
    <w:p w14:paraId="1BA952E4">
      <w:pPr>
        <w:spacing w:line="4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四、考试形式及时间</w:t>
      </w:r>
    </w:p>
    <w:p w14:paraId="49DDADD9">
      <w:pPr>
        <w:spacing w:line="400" w:lineRule="exact"/>
        <w:ind w:left="779" w:leftChars="221"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“管理学”考试形式为笔试，考试时间3小时</w:t>
      </w:r>
    </w:p>
    <w:p w14:paraId="58634070">
      <w:pPr>
        <w:spacing w:line="4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五、主要参考书目</w:t>
      </w:r>
    </w:p>
    <w:p w14:paraId="72ABE406">
      <w:pPr>
        <w:spacing w:line="400" w:lineRule="exact"/>
        <w:ind w:left="779" w:leftChars="221" w:hanging="315" w:hangingChars="15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周三多、陈传明等编著，《管理学——原理与方法》（第7版）,上海：复旦大学出版社，</w:t>
      </w:r>
      <w:r>
        <w:rPr>
          <w:rFonts w:hint="eastAsia" w:ascii="宋体" w:hAnsi="宋体"/>
          <w:strike w:val="0"/>
          <w:dstrike w:val="0"/>
          <w:color w:val="auto"/>
          <w:szCs w:val="21"/>
          <w:lang w:val="en-US" w:eastAsia="zh-CN"/>
        </w:rPr>
        <w:t>2021。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C9"/>
    <w:rsid w:val="000062FE"/>
    <w:rsid w:val="0004055A"/>
    <w:rsid w:val="000A6FD3"/>
    <w:rsid w:val="000B3DC9"/>
    <w:rsid w:val="000D4431"/>
    <w:rsid w:val="001040BA"/>
    <w:rsid w:val="001B1550"/>
    <w:rsid w:val="001C6C16"/>
    <w:rsid w:val="001C6FDC"/>
    <w:rsid w:val="00201E79"/>
    <w:rsid w:val="00214317"/>
    <w:rsid w:val="00262CD8"/>
    <w:rsid w:val="002E178D"/>
    <w:rsid w:val="00387222"/>
    <w:rsid w:val="003B67BD"/>
    <w:rsid w:val="003F54C0"/>
    <w:rsid w:val="00404D67"/>
    <w:rsid w:val="004253D8"/>
    <w:rsid w:val="00451E3F"/>
    <w:rsid w:val="004D7427"/>
    <w:rsid w:val="00516402"/>
    <w:rsid w:val="005311CD"/>
    <w:rsid w:val="00543B06"/>
    <w:rsid w:val="00592065"/>
    <w:rsid w:val="005F23B8"/>
    <w:rsid w:val="00631F30"/>
    <w:rsid w:val="00633260"/>
    <w:rsid w:val="006346B6"/>
    <w:rsid w:val="00642BD1"/>
    <w:rsid w:val="00676F53"/>
    <w:rsid w:val="006C2A85"/>
    <w:rsid w:val="007911F9"/>
    <w:rsid w:val="007A55B9"/>
    <w:rsid w:val="007D5AD2"/>
    <w:rsid w:val="008616E2"/>
    <w:rsid w:val="008706CF"/>
    <w:rsid w:val="008C2874"/>
    <w:rsid w:val="00911EF9"/>
    <w:rsid w:val="00913E15"/>
    <w:rsid w:val="009407B8"/>
    <w:rsid w:val="00960F31"/>
    <w:rsid w:val="0096666F"/>
    <w:rsid w:val="009C34A6"/>
    <w:rsid w:val="009E2389"/>
    <w:rsid w:val="009E54C9"/>
    <w:rsid w:val="009F22DF"/>
    <w:rsid w:val="00A16AEE"/>
    <w:rsid w:val="00A23700"/>
    <w:rsid w:val="00A3667D"/>
    <w:rsid w:val="00A44BDC"/>
    <w:rsid w:val="00A634FD"/>
    <w:rsid w:val="00A66C08"/>
    <w:rsid w:val="00B3702F"/>
    <w:rsid w:val="00B42662"/>
    <w:rsid w:val="00B71040"/>
    <w:rsid w:val="00BA2878"/>
    <w:rsid w:val="00BD153E"/>
    <w:rsid w:val="00BD63DB"/>
    <w:rsid w:val="00BE1655"/>
    <w:rsid w:val="00BE299B"/>
    <w:rsid w:val="00C0338A"/>
    <w:rsid w:val="00C1455E"/>
    <w:rsid w:val="00C2037A"/>
    <w:rsid w:val="00C41A4F"/>
    <w:rsid w:val="00C43A33"/>
    <w:rsid w:val="00C95249"/>
    <w:rsid w:val="00CC0798"/>
    <w:rsid w:val="00CD23CC"/>
    <w:rsid w:val="00CD4A5A"/>
    <w:rsid w:val="00CD628C"/>
    <w:rsid w:val="00CE07C7"/>
    <w:rsid w:val="00CF14AC"/>
    <w:rsid w:val="00DB512C"/>
    <w:rsid w:val="00DD0290"/>
    <w:rsid w:val="00DD6398"/>
    <w:rsid w:val="00DE0B42"/>
    <w:rsid w:val="00DF5CA7"/>
    <w:rsid w:val="00E1640F"/>
    <w:rsid w:val="00E42AF2"/>
    <w:rsid w:val="00E536B8"/>
    <w:rsid w:val="00E542A3"/>
    <w:rsid w:val="00E71B53"/>
    <w:rsid w:val="00EC5234"/>
    <w:rsid w:val="00ED42F9"/>
    <w:rsid w:val="00F2501C"/>
    <w:rsid w:val="00F81CF8"/>
    <w:rsid w:val="00FD6941"/>
    <w:rsid w:val="00FF2EB0"/>
    <w:rsid w:val="05BD3143"/>
    <w:rsid w:val="0B2810CA"/>
    <w:rsid w:val="166427EA"/>
    <w:rsid w:val="190F6E75"/>
    <w:rsid w:val="1BC471FC"/>
    <w:rsid w:val="1E3E5E38"/>
    <w:rsid w:val="1F165C7A"/>
    <w:rsid w:val="214109C5"/>
    <w:rsid w:val="26EC5993"/>
    <w:rsid w:val="2E7A52F7"/>
    <w:rsid w:val="36F2131A"/>
    <w:rsid w:val="37233DAF"/>
    <w:rsid w:val="40FD49E1"/>
    <w:rsid w:val="41C917A8"/>
    <w:rsid w:val="42FF3AA4"/>
    <w:rsid w:val="435E700F"/>
    <w:rsid w:val="45770A2E"/>
    <w:rsid w:val="4D707F7A"/>
    <w:rsid w:val="4F252466"/>
    <w:rsid w:val="50E932FD"/>
    <w:rsid w:val="5624337B"/>
    <w:rsid w:val="56A05DC4"/>
    <w:rsid w:val="5BA00ECB"/>
    <w:rsid w:val="5BC47C3A"/>
    <w:rsid w:val="5CD6260D"/>
    <w:rsid w:val="670B7696"/>
    <w:rsid w:val="6F037E5A"/>
    <w:rsid w:val="722506A9"/>
    <w:rsid w:val="74037AB7"/>
    <w:rsid w:val="749D2DA1"/>
    <w:rsid w:val="75C3535A"/>
    <w:rsid w:val="76363F76"/>
    <w:rsid w:val="76BA708C"/>
    <w:rsid w:val="775C42C8"/>
    <w:rsid w:val="7AC745F7"/>
    <w:rsid w:val="7C3756D3"/>
    <w:rsid w:val="7D7D4E70"/>
    <w:rsid w:val="7F4E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6"/>
    <w:semiHidden/>
    <w:unhideWhenUsed/>
    <w:qFormat/>
    <w:uiPriority w:val="99"/>
    <w:rPr>
      <w:color w:val="808080"/>
      <w:shd w:val="clear" w:color="auto" w:fill="E6E6E6"/>
    </w:rPr>
  </w:style>
  <w:style w:type="character" w:customStyle="1" w:styleId="10">
    <w:name w:val="页眉 字符"/>
    <w:basedOn w:val="6"/>
    <w:link w:val="4"/>
    <w:qFormat/>
    <w:uiPriority w:val="99"/>
    <w:rPr>
      <w:rFonts w:ascii="Times New Roman" w:hAnsi="Times New Roman" w:eastAsia="宋体" w:cs="Times New Roman"/>
      <w:sz w:val="18"/>
      <w:szCs w:val="18"/>
    </w:rPr>
  </w:style>
  <w:style w:type="character" w:customStyle="1" w:styleId="11">
    <w:name w:val="页脚 字符"/>
    <w:basedOn w:val="6"/>
    <w:link w:val="3"/>
    <w:qFormat/>
    <w:uiPriority w:val="99"/>
    <w:rPr>
      <w:rFonts w:ascii="Times New Roman" w:hAnsi="Times New Roman" w:eastAsia="宋体" w:cs="Times New Roman"/>
      <w:sz w:val="18"/>
      <w:szCs w:val="18"/>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69DC-2B61-430A-9A25-B46C60F3CE2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1680</Words>
  <Characters>1690</Characters>
  <Lines>8</Lines>
  <Paragraphs>2</Paragraphs>
  <TotalTime>6</TotalTime>
  <ScaleCrop>false</ScaleCrop>
  <LinksUpToDate>false</LinksUpToDate>
  <CharactersWithSpaces>1741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2024-06-27T03:47:00Z</dcterms:created>
  <dc:creator>ge wang</dc:creator>
  <cp:lastModifiedBy>？？？</cp:lastModifiedBy>
  <dcterms:modified xsi:type="dcterms:W3CDTF">2025-09-10T10:23:31Z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eyJoZGlkIjoiMDljYzUzMWQ4OWI0YzBkYjYzMDRhZTY5ZjZkYmFmYTgiLCJ1c2VySWQiOiIxNTU4NTAzODM0In0=</vt:lpwstr>
  </property>
  <property fmtid="{D5CDD505-2E9C-101B-9397-08002B2CF9AE}" pid="3" name="KSOProductBuildVer">
    <vt:lpwstr>2052-12.1.0.22529</vt:lpwstr>
  </property>
  <property fmtid="{D5CDD505-2E9C-101B-9397-08002B2CF9AE}" pid="4" name="ICV">
    <vt:lpwstr>50E914E7CDE0430AB6894EBD6A653A99_13</vt:lpwstr>
  </property>
</Properties>
</file>