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E3F9">
      <w:pPr>
        <w:widowControl/>
        <w:spacing w:line="580" w:lineRule="exact"/>
        <w:jc w:val="center"/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科目名称：实变函数</w:t>
      </w:r>
    </w:p>
    <w:p w14:paraId="10CD2646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</w:p>
    <w:p w14:paraId="4D79BA2C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课程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总体要求</w:t>
      </w:r>
    </w:p>
    <w:p w14:paraId="51E80758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实变函数是近代分析数学的基础，考试以实分析的基本知识为主，掌握集合论初步、可测集合及可测函数与勒贝格积分的定义、性质及相关定理。</w:t>
      </w:r>
    </w:p>
    <w:p w14:paraId="4D6EA13F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二、考试内容</w:t>
      </w:r>
    </w:p>
    <w:p w14:paraId="282CC568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集合及其运算</w:t>
      </w:r>
    </w:p>
    <w:p w14:paraId="589DE040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 n维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空间中的点集</w:t>
      </w:r>
    </w:p>
    <w:p w14:paraId="3BB0DD4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可测函数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列的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收敛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性</w:t>
      </w:r>
    </w:p>
    <w:p w14:paraId="0B26BBF3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 积分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收敛定理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及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证明</w:t>
      </w:r>
    </w:p>
    <w:p w14:paraId="68051F1C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Lebesgue积分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与R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iemann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积分的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关系。</w:t>
      </w:r>
    </w:p>
    <w:p w14:paraId="27875A1A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三、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主要参考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书</w:t>
      </w:r>
    </w:p>
    <w:p w14:paraId="0E9864A0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《实变函数论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，江泽坚，高等教育出版社，1994年。</w:t>
      </w:r>
    </w:p>
    <w:p w14:paraId="0759050D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《实变函数论与泛函分析》，夏道行等，人民教育出版社，1979年。</w:t>
      </w:r>
    </w:p>
    <w:p w14:paraId="7D237CAA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《实变函数与泛函分析》，程其襄等，高等教育出版社，1983年</w:t>
      </w:r>
    </w:p>
    <w:p w14:paraId="4C094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A0"/>
    <w:rsid w:val="00177DF4"/>
    <w:rsid w:val="00776C5D"/>
    <w:rsid w:val="007B639C"/>
    <w:rsid w:val="00CA6002"/>
    <w:rsid w:val="00CF2092"/>
    <w:rsid w:val="00FA4CA0"/>
    <w:rsid w:val="31A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254</Characters>
  <Lines>1</Lines>
  <Paragraphs>1</Paragraphs>
  <TotalTime>0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2025-03-04T08:19:00Z</dcterms:created>
  <dc:creator>小波 王</dc:creator>
  <cp:lastModifiedBy>郭嘉承</cp:lastModifiedBy>
  <dcterms:modified xsi:type="dcterms:W3CDTF">2026-03-09T01:52:43Z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eyJoZGlkIjoiM2FkNjdkYzQ3NDgyYTllYTU5MmRkNDE3Mzk1OTdlODAiLCJ1c2VySWQiOiIxNzA3Nzc4MzA3In0=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9C00CDF039F4499490A130E0DFC1909E_12</vt:lpwstr>
  </property>
</Properties>
</file>