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BB568">
      <w:pPr>
        <w:spacing w:before="312" w:beforeLines="100" w:after="312" w:afterLines="100" w:line="480" w:lineRule="exact"/>
        <w:jc w:val="center"/>
        <w:rPr>
          <w:rFonts w:hint="eastAsia" w:ascii="仿宋" w:hAnsi="仿宋" w:eastAsia="仿宋" w:cs="仿宋"/>
        </w:rPr>
      </w:pPr>
      <w:r>
        <w:rPr>
          <w:rFonts w:hint="eastAsia" w:ascii="仿宋" w:hAnsi="仿宋" w:eastAsia="仿宋" w:cs="仿宋"/>
          <w:b/>
          <w:sz w:val="32"/>
          <w:szCs w:val="32"/>
        </w:rPr>
        <w:t>015</w:t>
      </w:r>
      <w:r>
        <w:fldChar w:fldCharType="begin"/>
      </w:r>
      <w:r>
        <w:instrText xml:space="preserve"> HYPERLINK "http://wlkx.tiangong.edu.cn" \t "_blank" </w:instrText>
      </w:r>
      <w:r>
        <w:fldChar w:fldCharType="separate"/>
      </w:r>
      <w:r>
        <w:rPr>
          <w:rFonts w:hint="eastAsia" w:ascii="仿宋" w:hAnsi="仿宋" w:eastAsia="仿宋" w:cs="仿宋"/>
          <w:color w:val="5A5A5A"/>
          <w:sz w:val="32"/>
          <w:szCs w:val="32"/>
        </w:rPr>
        <w:t>物理科学与技术学院</w:t>
      </w:r>
      <w:r>
        <w:rPr>
          <w:rFonts w:hint="eastAsia" w:ascii="仿宋" w:hAnsi="仿宋" w:eastAsia="仿宋" w:cs="仿宋"/>
          <w:color w:val="5A5A5A"/>
          <w:sz w:val="32"/>
          <w:szCs w:val="32"/>
        </w:rPr>
        <w:fldChar w:fldCharType="end"/>
      </w:r>
    </w:p>
    <w:p w14:paraId="7E4B4167">
      <w:pPr>
        <w:spacing w:before="312" w:beforeLines="100" w:line="480" w:lineRule="exact"/>
        <w:jc w:val="center"/>
        <w:rPr>
          <w:rFonts w:hint="eastAsia" w:ascii="仿宋" w:hAnsi="仿宋" w:eastAsia="仿宋" w:cs="仿宋"/>
          <w:b/>
          <w:bCs/>
          <w:sz w:val="28"/>
          <w:szCs w:val="28"/>
        </w:rPr>
      </w:pPr>
      <w:r>
        <w:rPr>
          <w:rFonts w:hint="eastAsia" w:ascii="仿宋" w:hAnsi="仿宋" w:eastAsia="仿宋" w:cs="仿宋"/>
          <w:b/>
          <w:sz w:val="28"/>
          <w:szCs w:val="28"/>
        </w:rPr>
        <w:t>科目名称：物理光学</w:t>
      </w:r>
    </w:p>
    <w:p w14:paraId="2818F877">
      <w:pPr>
        <w:spacing w:line="440" w:lineRule="exact"/>
        <w:rPr>
          <w:rFonts w:hint="eastAsia" w:ascii="仿宋" w:hAnsi="仿宋" w:eastAsia="仿宋" w:cs="仿宋"/>
          <w:b/>
          <w:sz w:val="24"/>
        </w:rPr>
      </w:pPr>
      <w:r>
        <w:rPr>
          <w:rFonts w:hint="eastAsia" w:ascii="仿宋" w:hAnsi="仿宋" w:eastAsia="仿宋" w:cs="仿宋"/>
          <w:b/>
          <w:sz w:val="24"/>
        </w:rPr>
        <w:t>一、考试的总体要求</w:t>
      </w:r>
    </w:p>
    <w:p w14:paraId="6100C45F">
      <w:pPr>
        <w:spacing w:line="440" w:lineRule="exact"/>
        <w:ind w:firstLine="480" w:firstLineChars="200"/>
        <w:rPr>
          <w:rFonts w:hint="eastAsia" w:ascii="仿宋" w:hAnsi="仿宋" w:eastAsia="仿宋" w:cs="仿宋"/>
          <w:sz w:val="24"/>
        </w:rPr>
      </w:pPr>
      <w:r>
        <w:rPr>
          <w:rFonts w:hint="eastAsia" w:ascii="仿宋" w:hAnsi="仿宋" w:eastAsia="仿宋" w:cs="仿宋"/>
          <w:sz w:val="24"/>
        </w:rPr>
        <w:t>《物理光学》研究生招生复试是为招收光学类研究生而实施的选拔性考试。其指导思想是有利于选拔具有扎实的物理光学基础理论知识的高素质人才。要求考生能够系统地掌握光波在各向同性介质中的基本传输规律，能够熟练地分析杨氏双缝、平行平板等典型干涉装置的干涉图样；学习和掌握分析夫琅禾费衍射图样的基本方法并可据此分析光学系统的空间分辨本领；学习和掌握晶体中光的基本传输规律、利用晶体空间改变光波相位的基本原理以及具备运用所学的知识分析问题和解决问题的能力。</w:t>
      </w:r>
    </w:p>
    <w:p w14:paraId="757A53DD">
      <w:pPr>
        <w:spacing w:line="440" w:lineRule="exact"/>
        <w:rPr>
          <w:rFonts w:hint="eastAsia" w:ascii="仿宋" w:hAnsi="仿宋" w:eastAsia="仿宋" w:cs="仿宋"/>
          <w:b/>
          <w:sz w:val="24"/>
        </w:rPr>
      </w:pPr>
      <w:r>
        <w:rPr>
          <w:rFonts w:hint="eastAsia" w:ascii="仿宋" w:hAnsi="仿宋" w:eastAsia="仿宋" w:cs="仿宋"/>
          <w:b/>
          <w:sz w:val="24"/>
        </w:rPr>
        <w:t>二、考试的内容</w:t>
      </w:r>
    </w:p>
    <w:p w14:paraId="70F03FF1">
      <w:pPr>
        <w:numPr>
          <w:ilvl w:val="1"/>
          <w:numId w:val="1"/>
        </w:numPr>
        <w:spacing w:line="440" w:lineRule="exact"/>
        <w:rPr>
          <w:rFonts w:hint="eastAsia" w:ascii="仿宋" w:hAnsi="仿宋" w:eastAsia="仿宋" w:cs="仿宋"/>
          <w:sz w:val="24"/>
        </w:rPr>
      </w:pPr>
      <w:r>
        <w:rPr>
          <w:rFonts w:hint="eastAsia" w:ascii="仿宋" w:hAnsi="仿宋" w:eastAsia="仿宋" w:cs="仿宋"/>
          <w:sz w:val="24"/>
        </w:rPr>
        <w:t>光的电磁理论</w:t>
      </w:r>
    </w:p>
    <w:p w14:paraId="4BD1E7BA">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（1）麦克斯韦方程组。</w:t>
      </w:r>
    </w:p>
    <w:p w14:paraId="4EB3A90E">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（2）物质方程。</w:t>
      </w:r>
    </w:p>
    <w:p w14:paraId="5D6959CC">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（3）光波的相速度和群速度，光强。</w:t>
      </w:r>
    </w:p>
    <w:p w14:paraId="2DA6CD8A">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（4）光的偏振：自然光与完全偏振光；线偏光、圆偏光、椭圆偏光；左旋椭圆偏振光和右旋椭圆偏振光的产生条件；琼斯矩阵。</w:t>
      </w:r>
    </w:p>
    <w:p w14:paraId="7327E638">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（5）光波的叠加：两个频率不同，振动方向相同的单色光波的叠加；两个频率相同，振动方向垂直的两个单色光波的叠加；两个频率相同，振动方向相同的光波的叠加。</w:t>
      </w:r>
    </w:p>
    <w:p w14:paraId="5CB7F04C">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（6）反射定律和折射定律。</w:t>
      </w:r>
    </w:p>
    <w:p w14:paraId="178A7A7D">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（7）菲涅耳公式。</w:t>
      </w:r>
    </w:p>
    <w:p w14:paraId="3689CFF3">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（8）全反射。</w:t>
      </w:r>
    </w:p>
    <w:p w14:paraId="5FFB5C24">
      <w:pPr>
        <w:spacing w:line="440" w:lineRule="exact"/>
        <w:rPr>
          <w:rFonts w:hint="eastAsia" w:ascii="仿宋" w:hAnsi="仿宋" w:eastAsia="仿宋" w:cs="仿宋"/>
          <w:sz w:val="24"/>
        </w:rPr>
      </w:pPr>
      <w:r>
        <w:rPr>
          <w:rFonts w:hint="eastAsia" w:ascii="仿宋" w:hAnsi="仿宋" w:eastAsia="仿宋" w:cs="仿宋"/>
          <w:sz w:val="24"/>
        </w:rPr>
        <w:t xml:space="preserve">   2．光的干涉</w:t>
      </w:r>
    </w:p>
    <w:p w14:paraId="490ABA21">
      <w:pPr>
        <w:tabs>
          <w:tab w:val="left" w:pos="1305"/>
        </w:tabs>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（1）实现干涉的条件。</w:t>
      </w:r>
    </w:p>
    <w:p w14:paraId="3B9350CA">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（2）干涉图样的定量与定性分析：杨氏双缝干涉、平行平板干涉、楔形平板干涉、牛顿环。</w:t>
      </w:r>
    </w:p>
    <w:p w14:paraId="1D8F3631">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）迈克尔逊干涉仪、F-P干涉仪。</w:t>
      </w:r>
    </w:p>
    <w:p w14:paraId="1A1EC35B">
      <w:pPr>
        <w:spacing w:line="440" w:lineRule="exact"/>
        <w:ind w:firstLine="480" w:firstLineChars="200"/>
        <w:rPr>
          <w:rFonts w:hint="eastAsia" w:ascii="仿宋" w:hAnsi="仿宋" w:eastAsia="仿宋" w:cs="仿宋"/>
          <w:sz w:val="24"/>
        </w:rPr>
      </w:pPr>
      <w:r>
        <w:rPr>
          <w:rFonts w:hint="eastAsia" w:ascii="仿宋" w:hAnsi="仿宋" w:eastAsia="仿宋" w:cs="仿宋"/>
          <w:color w:val="000000"/>
          <w:sz w:val="24"/>
        </w:rPr>
        <w:t>3．</w:t>
      </w:r>
      <w:r>
        <w:rPr>
          <w:rFonts w:hint="eastAsia" w:ascii="仿宋" w:hAnsi="仿宋" w:eastAsia="仿宋" w:cs="仿宋"/>
          <w:sz w:val="24"/>
        </w:rPr>
        <w:t>光的衍射</w:t>
      </w:r>
    </w:p>
    <w:p w14:paraId="29392D76">
      <w:pPr>
        <w:tabs>
          <w:tab w:val="left" w:pos="1305"/>
        </w:tabs>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（1）惠更斯-菲涅耳原理。</w:t>
      </w:r>
    </w:p>
    <w:p w14:paraId="2E1F7047">
      <w:pPr>
        <w:tabs>
          <w:tab w:val="left" w:pos="1305"/>
        </w:tabs>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（2）夫琅禾费衍射：矩形孔衍射、圆孔衍射、单缝衍射、多缝衍射；</w:t>
      </w:r>
    </w:p>
    <w:p w14:paraId="1191D293">
      <w:pPr>
        <w:tabs>
          <w:tab w:val="left" w:pos="1305"/>
        </w:tabs>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（3）眼睛、望远镜等常用光学成像系统的分辨本领。</w:t>
      </w:r>
    </w:p>
    <w:p w14:paraId="2248088D">
      <w:pPr>
        <w:tabs>
          <w:tab w:val="left" w:pos="1305"/>
        </w:tabs>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（4）圆孔菲涅耳衍射。</w:t>
      </w:r>
    </w:p>
    <w:p w14:paraId="407CD713">
      <w:pPr>
        <w:tabs>
          <w:tab w:val="left" w:pos="1305"/>
        </w:tabs>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4．晶体光学</w:t>
      </w:r>
    </w:p>
    <w:p w14:paraId="1053C32E">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（1）晶体光学的基本概念：双折射现象、折射率椭球。</w:t>
      </w:r>
    </w:p>
    <w:p w14:paraId="13F5650B">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（2）各向同性晶体、单轴晶体和双轴晶体各自的光学性质。</w:t>
      </w:r>
    </w:p>
    <w:p w14:paraId="00800A79">
      <w:pPr>
        <w:tabs>
          <w:tab w:val="left" w:pos="990"/>
        </w:tabs>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（3）平面光波在晶体界面上反射和折射。</w:t>
      </w:r>
    </w:p>
    <w:p w14:paraId="4B1E83B8">
      <w:pPr>
        <w:tabs>
          <w:tab w:val="left" w:pos="1305"/>
        </w:tabs>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（4）波片：全波片，半波片，1</w:t>
      </w:r>
      <w:r>
        <w:rPr>
          <w:rFonts w:ascii="仿宋" w:hAnsi="仿宋" w:eastAsia="仿宋" w:cs="仿宋"/>
          <w:sz w:val="24"/>
        </w:rPr>
        <w:t>/4</w:t>
      </w:r>
      <w:r>
        <w:rPr>
          <w:rFonts w:hint="eastAsia" w:ascii="仿宋" w:hAnsi="仿宋" w:eastAsia="仿宋" w:cs="仿宋"/>
          <w:sz w:val="24"/>
        </w:rPr>
        <w:t>波片。</w:t>
      </w:r>
    </w:p>
    <w:p w14:paraId="6CB019C9">
      <w:pPr>
        <w:tabs>
          <w:tab w:val="left" w:pos="1305"/>
        </w:tabs>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（5）平行光正入射前提下的偏光干涉分析。</w:t>
      </w:r>
    </w:p>
    <w:p w14:paraId="543E74CC">
      <w:pPr>
        <w:tabs>
          <w:tab w:val="left" w:pos="1305"/>
        </w:tabs>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5．光的吸收、色散和散射</w:t>
      </w:r>
    </w:p>
    <w:p w14:paraId="1A50CFEB">
      <w:pPr>
        <w:tabs>
          <w:tab w:val="left" w:pos="1305"/>
        </w:tabs>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（1）光的吸收定律：朗伯（Lambert）定律、比尔（Beer）定律。</w:t>
      </w:r>
    </w:p>
    <w:p w14:paraId="6F3291FA">
      <w:pPr>
        <w:tabs>
          <w:tab w:val="left" w:pos="1305"/>
        </w:tabs>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（2）正常色散与反常色散。</w:t>
      </w:r>
    </w:p>
    <w:p w14:paraId="1FAD875F">
      <w:pPr>
        <w:tabs>
          <w:tab w:val="left" w:pos="1305"/>
        </w:tabs>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（3）瑞利散射、拉曼散射。</w:t>
      </w:r>
    </w:p>
    <w:p w14:paraId="2385108F">
      <w:pPr>
        <w:tabs>
          <w:tab w:val="left" w:pos="1305"/>
        </w:tabs>
        <w:adjustRightInd w:val="0"/>
        <w:snapToGrid w:val="0"/>
        <w:spacing w:line="440" w:lineRule="exact"/>
        <w:ind w:firstLine="480" w:firstLineChars="200"/>
        <w:rPr>
          <w:rFonts w:hint="eastAsia" w:ascii="仿宋" w:hAnsi="仿宋" w:eastAsia="仿宋" w:cs="仿宋"/>
          <w:sz w:val="24"/>
        </w:rPr>
      </w:pPr>
    </w:p>
    <w:p w14:paraId="6AC67AD8">
      <w:pPr>
        <w:adjustRightInd w:val="0"/>
        <w:snapToGrid w:val="0"/>
        <w:spacing w:line="440" w:lineRule="exact"/>
        <w:rPr>
          <w:rFonts w:hint="eastAsia" w:ascii="仿宋" w:hAnsi="仿宋" w:eastAsia="仿宋" w:cs="仿宋"/>
          <w:b/>
          <w:sz w:val="24"/>
        </w:rPr>
      </w:pPr>
      <w:r>
        <w:rPr>
          <w:rFonts w:hint="eastAsia" w:ascii="仿宋" w:hAnsi="仿宋" w:eastAsia="仿宋" w:cs="仿宋"/>
          <w:b/>
          <w:sz w:val="24"/>
        </w:rPr>
        <w:t>三、主要参考教材（参考书目）</w:t>
      </w:r>
    </w:p>
    <w:p w14:paraId="5B63AA3A">
      <w:pPr>
        <w:spacing w:line="440" w:lineRule="exact"/>
        <w:rPr>
          <w:rFonts w:hint="eastAsia" w:ascii="仿宋" w:hAnsi="仿宋" w:eastAsia="仿宋" w:cs="仿宋"/>
          <w:sz w:val="24"/>
        </w:rPr>
      </w:pPr>
      <w:r>
        <w:rPr>
          <w:rFonts w:hint="eastAsia" w:ascii="仿宋" w:hAnsi="仿宋" w:eastAsia="仿宋" w:cs="仿宋"/>
          <w:sz w:val="24"/>
        </w:rPr>
        <w:t xml:space="preserve">   1．顾宏，物理光学简明教程 北京：清华大学出版社，2018年</w:t>
      </w:r>
    </w:p>
    <w:p w14:paraId="1986535B">
      <w:pPr>
        <w:autoSpaceDE w:val="0"/>
        <w:autoSpaceDN w:val="0"/>
        <w:adjustRightInd w:val="0"/>
        <w:snapToGrid w:val="0"/>
        <w:spacing w:line="440" w:lineRule="exact"/>
        <w:ind w:firstLine="360" w:firstLineChars="150"/>
        <w:textAlignment w:val="bottom"/>
        <w:rPr>
          <w:rFonts w:hint="eastAsia" w:ascii="仿宋" w:hAnsi="仿宋" w:eastAsia="仿宋" w:cs="仿宋"/>
          <w:sz w:val="24"/>
        </w:rPr>
      </w:pPr>
      <w:r>
        <w:rPr>
          <w:rFonts w:hint="eastAsia" w:ascii="仿宋" w:hAnsi="仿宋" w:eastAsia="仿宋" w:cs="仿宋"/>
          <w:sz w:val="24"/>
        </w:rPr>
        <w:t>2．石顺祥、张海兴、刘劲松，物理光学与应用光学 西安：西安电子科技大学出版社，2000年</w:t>
      </w:r>
    </w:p>
    <w:p w14:paraId="51388D32">
      <w:pPr>
        <w:autoSpaceDE w:val="0"/>
        <w:autoSpaceDN w:val="0"/>
        <w:adjustRightInd w:val="0"/>
        <w:snapToGrid w:val="0"/>
        <w:spacing w:line="440" w:lineRule="exact"/>
        <w:ind w:firstLine="360" w:firstLineChars="150"/>
        <w:textAlignment w:val="bottom"/>
        <w:rPr>
          <w:rFonts w:hint="eastAsia" w:ascii="仿宋" w:hAnsi="仿宋" w:eastAsia="仿宋" w:cs="仿宋"/>
          <w:sz w:val="24"/>
        </w:rPr>
      </w:pPr>
      <w:r>
        <w:rPr>
          <w:rFonts w:hint="eastAsia" w:ascii="仿宋" w:hAnsi="仿宋" w:eastAsia="仿宋" w:cs="仿宋"/>
          <w:sz w:val="24"/>
        </w:rPr>
        <w:t>3. 梁铨廷，物理光学</w:t>
      </w:r>
      <w:r>
        <w:rPr>
          <w:rFonts w:hint="eastAsia" w:ascii="仿宋" w:hAnsi="仿宋" w:eastAsia="仿宋" w:cs="仿宋"/>
          <w:sz w:val="24"/>
          <w:lang w:val="en-US" w:eastAsia="zh-CN"/>
        </w:rPr>
        <w:t xml:space="preserve"> </w:t>
      </w:r>
      <w:bookmarkStart w:id="0" w:name="_GoBack"/>
      <w:bookmarkEnd w:id="0"/>
      <w:r>
        <w:rPr>
          <w:rFonts w:hint="eastAsia" w:ascii="仿宋" w:hAnsi="仿宋" w:eastAsia="仿宋" w:cs="仿宋"/>
          <w:sz w:val="24"/>
        </w:rPr>
        <w:t>北京：电子工业出版社，2012年</w:t>
      </w:r>
    </w:p>
    <w:p w14:paraId="018D876B">
      <w:pPr>
        <w:autoSpaceDE w:val="0"/>
        <w:autoSpaceDN w:val="0"/>
        <w:adjustRightInd w:val="0"/>
        <w:snapToGrid w:val="0"/>
        <w:spacing w:line="440" w:lineRule="exact"/>
        <w:ind w:firstLine="360" w:firstLineChars="150"/>
        <w:textAlignment w:val="bottom"/>
        <w:rPr>
          <w:rFonts w:hint="eastAsia" w:ascii="仿宋" w:hAnsi="仿宋" w:eastAsia="仿宋" w:cs="仿宋"/>
          <w:sz w:val="24"/>
        </w:rPr>
      </w:pPr>
    </w:p>
    <w:p w14:paraId="2D90B59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95F8B"/>
    <w:multiLevelType w:val="multilevel"/>
    <w:tmpl w:val="63395F8B"/>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7D"/>
    <w:rsid w:val="000D3D01"/>
    <w:rsid w:val="003D5C34"/>
    <w:rsid w:val="00437857"/>
    <w:rsid w:val="00486E77"/>
    <w:rsid w:val="00630364"/>
    <w:rsid w:val="00961386"/>
    <w:rsid w:val="009B1722"/>
    <w:rsid w:val="00BB0980"/>
    <w:rsid w:val="00E22E28"/>
    <w:rsid w:val="00E621AA"/>
    <w:rsid w:val="00ED727D"/>
    <w:rsid w:val="2E3D2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Body Text Indent"/>
    <w:basedOn w:val="1"/>
    <w:link w:val="38"/>
    <w:qFormat/>
    <w:uiPriority w:val="0"/>
    <w:pPr>
      <w:ind w:left="-2" w:leftChars="-1" w:firstLine="480" w:firstLineChars="200"/>
    </w:pPr>
    <w:rPr>
      <w:rFonts w:ascii="宋体" w:hAnsi="宋体"/>
      <w:sz w:val="24"/>
      <w:szCs w:val="20"/>
    </w:rPr>
  </w:style>
  <w:style w:type="paragraph" w:styleId="12">
    <w:name w:val="Body Text Indent 2"/>
    <w:basedOn w:val="1"/>
    <w:link w:val="39"/>
    <w:qFormat/>
    <w:uiPriority w:val="0"/>
    <w:pPr>
      <w:spacing w:line="360" w:lineRule="auto"/>
      <w:ind w:firstLine="480" w:firstLineChars="200"/>
    </w:pPr>
    <w:rPr>
      <w:rFonts w:ascii="宋体" w:hAnsi="宋体"/>
      <w:sz w:val="24"/>
      <w:szCs w:val="20"/>
    </w:rPr>
  </w:style>
  <w:style w:type="paragraph" w:styleId="13">
    <w:name w:val="Balloon Text"/>
    <w:basedOn w:val="1"/>
    <w:link w:val="41"/>
    <w:semiHidden/>
    <w:unhideWhenUsed/>
    <w:uiPriority w:val="99"/>
    <w:rPr>
      <w:sz w:val="18"/>
      <w:szCs w:val="18"/>
    </w:rPr>
  </w:style>
  <w:style w:type="paragraph" w:styleId="14">
    <w:name w:val="footer"/>
    <w:basedOn w:val="1"/>
    <w:link w:val="43"/>
    <w:semiHidden/>
    <w:unhideWhenUsed/>
    <w:uiPriority w:val="99"/>
    <w:pPr>
      <w:tabs>
        <w:tab w:val="center" w:pos="4153"/>
        <w:tab w:val="right" w:pos="8306"/>
      </w:tabs>
      <w:snapToGrid w:val="0"/>
      <w:jc w:val="left"/>
    </w:pPr>
    <w:rPr>
      <w:sz w:val="18"/>
      <w:szCs w:val="18"/>
    </w:rPr>
  </w:style>
  <w:style w:type="paragraph" w:styleId="15">
    <w:name w:val="header"/>
    <w:basedOn w:val="1"/>
    <w:link w:val="42"/>
    <w:semiHidden/>
    <w:unhideWhenUsed/>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2"/>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3"/>
    <w:semiHidden/>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4"/>
    <w:semiHidden/>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5"/>
    <w:semiHidden/>
    <w:uiPriority w:val="9"/>
    <w:rPr>
      <w:rFonts w:cstheme="majorBidi"/>
      <w:color w:val="104862" w:themeColor="accent1" w:themeShade="BF"/>
      <w:sz w:val="28"/>
      <w:szCs w:val="28"/>
    </w:rPr>
  </w:style>
  <w:style w:type="character" w:customStyle="1" w:styleId="24">
    <w:name w:val="标题 5 字符"/>
    <w:basedOn w:val="19"/>
    <w:link w:val="6"/>
    <w:semiHidden/>
    <w:uiPriority w:val="9"/>
    <w:rPr>
      <w:rFonts w:cstheme="majorBidi"/>
      <w:color w:val="104862" w:themeColor="accent1" w:themeShade="BF"/>
      <w:sz w:val="24"/>
    </w:rPr>
  </w:style>
  <w:style w:type="character" w:customStyle="1" w:styleId="25">
    <w:name w:val="标题 6 字符"/>
    <w:basedOn w:val="19"/>
    <w:link w:val="7"/>
    <w:semiHidden/>
    <w:uiPriority w:val="9"/>
    <w:rPr>
      <w:rFonts w:cstheme="majorBidi"/>
      <w:b/>
      <w:bCs/>
      <w:color w:val="104862" w:themeColor="accent1" w:themeShade="BF"/>
    </w:rPr>
  </w:style>
  <w:style w:type="character" w:customStyle="1" w:styleId="26">
    <w:name w:val="标题 7 字符"/>
    <w:basedOn w:val="19"/>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6"/>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正文文本缩进 字符"/>
    <w:basedOn w:val="19"/>
    <w:link w:val="11"/>
    <w:qFormat/>
    <w:uiPriority w:val="0"/>
    <w:rPr>
      <w:rFonts w:ascii="宋体" w:hAnsi="宋体" w:eastAsia="宋体" w:cs="Times New Roman"/>
      <w:sz w:val="24"/>
      <w:szCs w:val="20"/>
    </w:rPr>
  </w:style>
  <w:style w:type="character" w:customStyle="1" w:styleId="39">
    <w:name w:val="正文文本缩进 2 字符"/>
    <w:basedOn w:val="19"/>
    <w:link w:val="12"/>
    <w:qFormat/>
    <w:uiPriority w:val="0"/>
    <w:rPr>
      <w:rFonts w:ascii="宋体" w:hAnsi="宋体" w:eastAsia="宋体" w:cs="Times New Roman"/>
      <w:sz w:val="24"/>
      <w:szCs w:val="20"/>
    </w:rPr>
  </w:style>
  <w:style w:type="paragraph" w:customStyle="1" w:styleId="40">
    <w:name w:val="Revision"/>
    <w:hidden/>
    <w:semiHidden/>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41">
    <w:name w:val="批注框文本 字符"/>
    <w:basedOn w:val="19"/>
    <w:link w:val="13"/>
    <w:semiHidden/>
    <w:uiPriority w:val="99"/>
    <w:rPr>
      <w:rFonts w:ascii="Times New Roman" w:hAnsi="Times New Roman" w:eastAsia="宋体" w:cs="Times New Roman"/>
      <w:sz w:val="18"/>
      <w:szCs w:val="18"/>
    </w:rPr>
  </w:style>
  <w:style w:type="character" w:customStyle="1" w:styleId="42">
    <w:name w:val="页眉 字符"/>
    <w:basedOn w:val="19"/>
    <w:link w:val="15"/>
    <w:semiHidden/>
    <w:uiPriority w:val="99"/>
    <w:rPr>
      <w:rFonts w:ascii="Times New Roman" w:hAnsi="Times New Roman" w:eastAsia="宋体" w:cs="Times New Roman"/>
      <w:sz w:val="18"/>
      <w:szCs w:val="18"/>
    </w:rPr>
  </w:style>
  <w:style w:type="character" w:customStyle="1" w:styleId="43">
    <w:name w:val="页脚 字符"/>
    <w:basedOn w:val="19"/>
    <w:link w:val="1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898</Words>
  <Characters>923</Characters>
  <Lines>7</Lines>
  <Paragraphs>2</Paragraphs>
  <TotalTime>2</TotalTime>
  <ScaleCrop>false</ScaleCrop>
  <LinksUpToDate>false</LinksUpToDate>
  <CharactersWithSpaces>932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2026-03-03T11:48:00Z</dcterms:created>
  <dc:creator>赫 刘</dc:creator>
  <cp:lastModifiedBy>郭嘉承</cp:lastModifiedBy>
  <dcterms:modified xsi:type="dcterms:W3CDTF">2026-03-09T01:48:46Z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eyJoZGlkIjoiM2FkNjdkYzQ3NDgyYTllYTU5MmRkNDE3Mzk1OTdlODAiLCJ1c2VySWQiOiIxNzA3Nzc4MzA3In0=</vt:lpwstr>
  </property>
  <property fmtid="{D5CDD505-2E9C-101B-9397-08002B2CF9AE}" pid="3" name="KSOProductBuildVer">
    <vt:lpwstr>2052-12.1.0.24657</vt:lpwstr>
  </property>
  <property fmtid="{D5CDD505-2E9C-101B-9397-08002B2CF9AE}" pid="4" name="ICV">
    <vt:lpwstr>6242E1C67F204A68BE1AE89B7BEA9AFB_12</vt:lpwstr>
  </property>
</Properties>
</file>