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18F" w:rsidRDefault="0045118F" w:rsidP="0045118F">
      <w:pPr>
        <w:spacing w:beforeLines="100" w:afterLines="100" w:line="460" w:lineRule="exact"/>
        <w:jc w:val="center"/>
        <w:rPr>
          <w:rFonts w:ascii="仿宋" w:eastAsia="仿宋" w:hAnsi="仿宋" w:cs="仿宋"/>
          <w:b/>
          <w:sz w:val="30"/>
          <w:szCs w:val="30"/>
        </w:rPr>
      </w:pPr>
      <w:r>
        <w:rPr>
          <w:rFonts w:ascii="仿宋" w:eastAsia="仿宋" w:hAnsi="仿宋" w:cs="仿宋" w:hint="eastAsia"/>
          <w:b/>
          <w:sz w:val="30"/>
          <w:szCs w:val="30"/>
        </w:rPr>
        <w:t>科目名称：财务管理</w:t>
      </w:r>
    </w:p>
    <w:p w:rsidR="0045118F" w:rsidRDefault="0045118F" w:rsidP="0045118F">
      <w:pPr>
        <w:spacing w:line="460" w:lineRule="exact"/>
        <w:rPr>
          <w:rFonts w:ascii="仿宋" w:eastAsia="仿宋" w:hAnsi="仿宋" w:cs="仿宋"/>
          <w:b/>
          <w:sz w:val="24"/>
        </w:rPr>
      </w:pPr>
      <w:r>
        <w:rPr>
          <w:rFonts w:ascii="仿宋" w:eastAsia="仿宋" w:hAnsi="仿宋" w:cs="仿宋" w:hint="eastAsia"/>
          <w:b/>
          <w:sz w:val="24"/>
        </w:rPr>
        <w:t>一、考试总体要求</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财务管理”是工商管理专业会计学方向研究生入学考试复试科目，其指导原则是有利于选拔具备坚实的财务管理基础知识并具有一定管理思想的优秀会计人才入学。要求考生能较为全面地掌握财务管理的基本理论与基本方法，并能在此基础上灵活运用财务管理的知识和技能，具备较强的分析与解决实际问题的能力。</w:t>
      </w:r>
    </w:p>
    <w:p w:rsidR="0045118F" w:rsidRDefault="0045118F" w:rsidP="0045118F">
      <w:pPr>
        <w:spacing w:line="460" w:lineRule="exact"/>
        <w:rPr>
          <w:rFonts w:ascii="仿宋" w:eastAsia="仿宋" w:hAnsi="仿宋" w:cs="仿宋"/>
          <w:b/>
          <w:sz w:val="24"/>
        </w:rPr>
      </w:pPr>
      <w:r>
        <w:rPr>
          <w:rFonts w:ascii="仿宋" w:eastAsia="仿宋" w:hAnsi="仿宋" w:cs="仿宋" w:hint="eastAsia"/>
          <w:b/>
          <w:sz w:val="24"/>
        </w:rPr>
        <w:t>二、考试内容</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（一）基础理论</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1.总论</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财务管理的概念及内涵；财务管理的目标；企业组织形式与财务经理；财务管理的环境。</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2.财务管理的价值观念</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货币时间价值的相关概念及计算；风险报酬的相关概念、计算及资本资产定价模型；证券投资的种类、特点，不同证券的价值评估方法。</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3.财务分析</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企业财务的多角度及综合分析。</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（二）筹资理论</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4.长期筹资方式</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长期筹资的动机、原则、渠道和类型。投入资本筹资的含义、种类、程序、估值；股票的种类，股票发行的要求、条件、程序、发售方式、发行价格，股票上市的条件及决策，普通股筹资的优缺点。债券的种类，发行债券的资格、条件、程序、价格确定，债券的信用评级、评级程序、方法；长期借款的种类、银行借款的信用条件，借款程序和合同，长期借款筹资的优缺点；租赁的种类、方式，融资租赁的程序，租赁的计算；普通股和优先股的特征，发行优先股筹资、可转换证券筹资的特点和优缺点，发行永续债券筹资、发行认股权证筹资方式的特点、作用和动机。</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5.资本结构决策</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lastRenderedPageBreak/>
        <w:t>资本结构的种类，各种资本结构理论的观点；资本成本测算；营业杠杆、财务杠杆、联合杠杆的利益与风险； 资本结构决策分析。</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（三）投资决策理论</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6.投资决策原理</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企业投资的分类、企业投资管理的原则，企业投资过程分析；投资现金流的构成，现金流量的计算，折现现金流量方法；非折现现金流量方法；投资决策指标的比较。</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7.</w:t>
      </w:r>
      <w:r w:rsidRPr="00671742">
        <w:rPr>
          <w:rFonts w:ascii="仿宋" w:eastAsia="仿宋" w:hAnsi="仿宋" w:cs="仿宋"/>
          <w:sz w:val="24"/>
        </w:rPr>
        <w:t xml:space="preserve"> 投资决策实务</w:t>
      </w:r>
    </w:p>
    <w:p w:rsidR="0045118F" w:rsidRPr="00671742" w:rsidRDefault="0045118F" w:rsidP="0045118F">
      <w:pPr>
        <w:ind w:firstLineChars="236" w:firstLine="566"/>
        <w:rPr>
          <w:rFonts w:ascii="仿宋" w:eastAsia="仿宋" w:hAnsi="仿宋" w:cs="仿宋" w:hint="eastAsia"/>
          <w:sz w:val="24"/>
        </w:rPr>
      </w:pPr>
      <w:r w:rsidRPr="00671742">
        <w:rPr>
          <w:rFonts w:ascii="仿宋" w:eastAsia="仿宋" w:hAnsi="仿宋" w:cs="仿宋" w:hint="eastAsia"/>
          <w:sz w:val="24"/>
        </w:rPr>
        <w:t>掌握</w:t>
      </w:r>
      <w:r w:rsidRPr="00671742">
        <w:rPr>
          <w:rFonts w:ascii="仿宋" w:eastAsia="仿宋" w:hAnsi="仿宋" w:cs="仿宋"/>
          <w:sz w:val="24"/>
        </w:rPr>
        <w:t xml:space="preserve">现实中现金流量的计算 </w:t>
      </w:r>
      <w:r w:rsidRPr="00671742">
        <w:rPr>
          <w:rFonts w:ascii="仿宋" w:eastAsia="仿宋" w:hAnsi="仿宋" w:cs="仿宋" w:hint="eastAsia"/>
          <w:sz w:val="24"/>
        </w:rPr>
        <w:t>；掌握</w:t>
      </w:r>
      <w:r w:rsidRPr="00671742">
        <w:rPr>
          <w:rFonts w:ascii="仿宋" w:eastAsia="仿宋" w:hAnsi="仿宋" w:cs="仿宋"/>
          <w:sz w:val="24"/>
        </w:rPr>
        <w:t xml:space="preserve"> 项目投资决策</w:t>
      </w:r>
      <w:r w:rsidRPr="00671742">
        <w:rPr>
          <w:rFonts w:ascii="仿宋" w:eastAsia="仿宋" w:hAnsi="仿宋" w:cs="仿宋" w:hint="eastAsia"/>
          <w:sz w:val="24"/>
        </w:rPr>
        <w:t>；以及掌握</w:t>
      </w:r>
      <w:r w:rsidRPr="00671742">
        <w:rPr>
          <w:rFonts w:ascii="仿宋" w:eastAsia="仿宋" w:hAnsi="仿宋" w:cs="仿宋"/>
          <w:sz w:val="24"/>
        </w:rPr>
        <w:t>风险投资决策</w:t>
      </w:r>
      <w:r w:rsidRPr="00671742">
        <w:rPr>
          <w:rFonts w:ascii="仿宋" w:eastAsia="仿宋" w:hAnsi="仿宋" w:cs="仿宋" w:hint="eastAsia"/>
          <w:sz w:val="24"/>
        </w:rPr>
        <w:t>。</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（四）短期资金及收益管理部分</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8.短期资产管理</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营运资本管理的原则；短期资产的特征、分类与持有政策；现金管理的动机和内容，现金预算管理，现金持有量决策，现金的日常控制；短期金融资产管理的动机与内容，短期金融资产的种类；短期金融资产的投资组合决策；应收账款的功能与成本，应收账款政策的制定及日常控制；存货的功能与成本，存货规划，存货的日常控制。</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9. 短期筹资管理</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短期筹资的特征与分类，短期筹资政策的类型；商业信用；短期借款筹资的种类、基本程序和优缺点；短期融资券的种类、发行程序、评级与成本及其筹资的优缺点。</w:t>
      </w:r>
    </w:p>
    <w:p w:rsidR="0045118F" w:rsidRPr="009A57BD"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10.</w:t>
      </w:r>
      <w:r w:rsidRPr="009A57BD">
        <w:rPr>
          <w:rFonts w:ascii="仿宋" w:eastAsia="仿宋" w:hAnsi="仿宋" w:cs="仿宋"/>
          <w:sz w:val="24"/>
        </w:rPr>
        <w:t xml:space="preserve"> 股利理论与政策</w:t>
      </w:r>
    </w:p>
    <w:p w:rsidR="0045118F" w:rsidRPr="009A57BD" w:rsidRDefault="0045118F" w:rsidP="0045118F">
      <w:pPr>
        <w:spacing w:line="460" w:lineRule="exact"/>
        <w:ind w:firstLineChars="236" w:firstLine="566"/>
        <w:rPr>
          <w:rFonts w:ascii="仿宋" w:eastAsia="仿宋" w:hAnsi="仿宋" w:cs="仿宋"/>
          <w:sz w:val="24"/>
        </w:rPr>
      </w:pPr>
      <w:r w:rsidRPr="009A57BD">
        <w:rPr>
          <w:rFonts w:ascii="仿宋" w:eastAsia="仿宋" w:hAnsi="仿宋" w:cs="仿宋" w:hint="eastAsia"/>
          <w:sz w:val="24"/>
        </w:rPr>
        <w:t>了解</w:t>
      </w:r>
      <w:r w:rsidRPr="009A57BD">
        <w:rPr>
          <w:rFonts w:ascii="仿宋" w:eastAsia="仿宋" w:hAnsi="仿宋" w:cs="仿宋"/>
          <w:sz w:val="24"/>
        </w:rPr>
        <w:t>股利及其分配</w:t>
      </w:r>
      <w:r w:rsidRPr="009A57BD">
        <w:rPr>
          <w:rFonts w:ascii="仿宋" w:eastAsia="仿宋" w:hAnsi="仿宋" w:cs="仿宋" w:hint="eastAsia"/>
          <w:sz w:val="24"/>
        </w:rPr>
        <w:t>、</w:t>
      </w:r>
      <w:r w:rsidRPr="009A57BD">
        <w:rPr>
          <w:rFonts w:ascii="仿宋" w:eastAsia="仿宋" w:hAnsi="仿宋" w:cs="仿宋"/>
          <w:sz w:val="24"/>
        </w:rPr>
        <w:t xml:space="preserve"> 股利理论</w:t>
      </w:r>
      <w:r w:rsidRPr="009A57BD">
        <w:rPr>
          <w:rFonts w:ascii="仿宋" w:eastAsia="仿宋" w:hAnsi="仿宋" w:cs="仿宋" w:hint="eastAsia"/>
          <w:sz w:val="24"/>
        </w:rPr>
        <w:t>；掌握</w:t>
      </w:r>
      <w:r w:rsidRPr="009A57BD">
        <w:rPr>
          <w:rFonts w:ascii="仿宋" w:eastAsia="仿宋" w:hAnsi="仿宋" w:cs="仿宋"/>
          <w:sz w:val="24"/>
        </w:rPr>
        <w:t>股利政策及其选择</w:t>
      </w:r>
      <w:r w:rsidRPr="009A57BD">
        <w:rPr>
          <w:rFonts w:ascii="仿宋" w:eastAsia="仿宋" w:hAnsi="仿宋" w:cs="仿宋" w:hint="eastAsia"/>
          <w:sz w:val="24"/>
        </w:rPr>
        <w:t>；熟悉</w:t>
      </w:r>
      <w:r w:rsidRPr="009A57BD">
        <w:rPr>
          <w:rFonts w:ascii="仿宋" w:eastAsia="仿宋" w:hAnsi="仿宋" w:cs="仿宋"/>
          <w:sz w:val="24"/>
        </w:rPr>
        <w:t>股票分割与股票回购</w:t>
      </w:r>
      <w:r w:rsidRPr="009A57BD">
        <w:rPr>
          <w:rFonts w:ascii="仿宋" w:eastAsia="仿宋" w:hAnsi="仿宋" w:cs="仿宋" w:hint="eastAsia"/>
          <w:sz w:val="24"/>
        </w:rPr>
        <w:t>。</w:t>
      </w:r>
    </w:p>
    <w:p w:rsidR="0045118F" w:rsidRPr="009A57BD" w:rsidRDefault="0045118F" w:rsidP="0045118F">
      <w:pPr>
        <w:spacing w:line="460" w:lineRule="exact"/>
        <w:ind w:firstLineChars="200" w:firstLine="480"/>
        <w:rPr>
          <w:rFonts w:ascii="仿宋" w:eastAsia="仿宋" w:hAnsi="仿宋" w:cs="仿宋"/>
          <w:sz w:val="24"/>
        </w:rPr>
      </w:pPr>
      <w:r w:rsidRPr="009A57BD">
        <w:rPr>
          <w:rFonts w:ascii="仿宋" w:eastAsia="仿宋" w:hAnsi="仿宋" w:cs="仿宋" w:hint="eastAsia"/>
          <w:sz w:val="24"/>
        </w:rPr>
        <w:t>1</w:t>
      </w:r>
      <w:r w:rsidRPr="009A57BD">
        <w:rPr>
          <w:rFonts w:ascii="仿宋" w:eastAsia="仿宋" w:hAnsi="仿宋" w:cs="仿宋"/>
          <w:sz w:val="24"/>
        </w:rPr>
        <w:t>1.</w:t>
      </w:r>
      <w:r w:rsidRPr="009A57BD">
        <w:rPr>
          <w:rFonts w:ascii="仿宋" w:eastAsia="仿宋" w:hAnsi="仿宋" w:cs="仿宋" w:hint="eastAsia"/>
          <w:sz w:val="24"/>
        </w:rPr>
        <w:t xml:space="preserve"> 并购与重组</w:t>
      </w:r>
    </w:p>
    <w:p w:rsidR="0045118F" w:rsidRPr="009A57BD" w:rsidRDefault="0045118F" w:rsidP="0045118F">
      <w:pPr>
        <w:spacing w:line="460" w:lineRule="exact"/>
        <w:ind w:firstLineChars="236" w:firstLine="566"/>
        <w:rPr>
          <w:rFonts w:ascii="仿宋" w:eastAsia="仿宋" w:hAnsi="仿宋" w:cs="仿宋"/>
          <w:sz w:val="24"/>
        </w:rPr>
      </w:pPr>
      <w:r w:rsidRPr="009A57BD">
        <w:rPr>
          <w:rFonts w:ascii="仿宋" w:eastAsia="仿宋" w:hAnsi="仿宋" w:cs="仿宋"/>
          <w:sz w:val="24"/>
        </w:rPr>
        <w:t>掌握公司并购</w:t>
      </w:r>
      <w:r w:rsidRPr="009A57BD">
        <w:rPr>
          <w:rFonts w:ascii="仿宋" w:eastAsia="仿宋" w:hAnsi="仿宋" w:cs="仿宋" w:hint="eastAsia"/>
          <w:sz w:val="24"/>
        </w:rPr>
        <w:t>及其</w:t>
      </w:r>
      <w:r w:rsidRPr="009A57BD">
        <w:rPr>
          <w:rFonts w:ascii="仿宋" w:eastAsia="仿宋" w:hAnsi="仿宋" w:cs="仿宋"/>
          <w:sz w:val="24"/>
        </w:rPr>
        <w:t>公司</w:t>
      </w:r>
      <w:r w:rsidRPr="009A57BD">
        <w:rPr>
          <w:rFonts w:ascii="仿宋" w:eastAsia="仿宋" w:hAnsi="仿宋" w:cs="仿宋" w:hint="eastAsia"/>
          <w:sz w:val="24"/>
        </w:rPr>
        <w:t>重组相关理论基础；了解财务预警相关内容；</w:t>
      </w:r>
      <w:r w:rsidRPr="009A57BD">
        <w:rPr>
          <w:rFonts w:ascii="仿宋" w:eastAsia="仿宋" w:hAnsi="仿宋" w:cs="仿宋"/>
          <w:sz w:val="24"/>
        </w:rPr>
        <w:t xml:space="preserve">熟悉 </w:t>
      </w:r>
      <w:r w:rsidRPr="009A57BD">
        <w:rPr>
          <w:rFonts w:ascii="仿宋" w:eastAsia="仿宋" w:hAnsi="仿宋" w:cs="仿宋" w:hint="eastAsia"/>
          <w:sz w:val="24"/>
        </w:rPr>
        <w:t>破产、重整与清算。</w:t>
      </w:r>
    </w:p>
    <w:p w:rsidR="0045118F" w:rsidRDefault="0045118F" w:rsidP="0045118F">
      <w:pPr>
        <w:spacing w:line="460" w:lineRule="exact"/>
        <w:ind w:firstLineChars="200" w:firstLine="482"/>
        <w:rPr>
          <w:rFonts w:ascii="仿宋" w:eastAsia="仿宋" w:hAnsi="仿宋" w:cs="仿宋"/>
          <w:b/>
          <w:sz w:val="24"/>
        </w:rPr>
      </w:pPr>
      <w:r>
        <w:rPr>
          <w:rFonts w:ascii="仿宋" w:eastAsia="仿宋" w:hAnsi="仿宋" w:cs="仿宋" w:hint="eastAsia"/>
          <w:b/>
          <w:sz w:val="24"/>
        </w:rPr>
        <w:t>三、参考教材</w:t>
      </w:r>
    </w:p>
    <w:p w:rsidR="0045118F" w:rsidRDefault="0045118F" w:rsidP="0045118F">
      <w:pPr>
        <w:spacing w:line="460" w:lineRule="exact"/>
        <w:ind w:firstLineChars="200" w:firstLine="480"/>
        <w:rPr>
          <w:rFonts w:ascii="仿宋" w:eastAsia="仿宋" w:hAnsi="仿宋" w:cs="仿宋"/>
          <w:sz w:val="24"/>
        </w:rPr>
      </w:pPr>
      <w:r>
        <w:rPr>
          <w:rFonts w:ascii="仿宋" w:eastAsia="仿宋" w:hAnsi="仿宋" w:cs="仿宋" w:hint="eastAsia"/>
          <w:sz w:val="24"/>
        </w:rPr>
        <w:t>《财务管理学》（第</w:t>
      </w:r>
      <w:r>
        <w:rPr>
          <w:rFonts w:ascii="仿宋" w:eastAsia="仿宋" w:hAnsi="仿宋" w:cs="仿宋"/>
          <w:sz w:val="24"/>
        </w:rPr>
        <w:t>9</w:t>
      </w:r>
      <w:r>
        <w:rPr>
          <w:rFonts w:ascii="仿宋" w:eastAsia="仿宋" w:hAnsi="仿宋" w:cs="仿宋" w:hint="eastAsia"/>
          <w:sz w:val="24"/>
        </w:rPr>
        <w:t>版）,</w:t>
      </w:r>
      <w:r w:rsidRPr="0022260A">
        <w:rPr>
          <w:rFonts w:ascii="宋体" w:hAnsi="宋体"/>
          <w:sz w:val="24"/>
        </w:rPr>
        <w:t xml:space="preserve"> </w:t>
      </w:r>
      <w:r w:rsidRPr="00B635FA">
        <w:rPr>
          <w:rFonts w:ascii="仿宋" w:eastAsia="仿宋" w:hAnsi="仿宋" w:cs="仿宋"/>
          <w:sz w:val="24"/>
        </w:rPr>
        <w:t>王化成</w:t>
      </w:r>
      <w:r w:rsidRPr="00B635FA">
        <w:rPr>
          <w:rFonts w:ascii="仿宋" w:eastAsia="仿宋" w:hAnsi="仿宋" w:cs="仿宋" w:hint="eastAsia"/>
          <w:sz w:val="24"/>
        </w:rPr>
        <w:t>、</w:t>
      </w:r>
      <w:r w:rsidRPr="00B635FA">
        <w:rPr>
          <w:rFonts w:ascii="仿宋" w:eastAsia="仿宋" w:hAnsi="仿宋" w:cs="仿宋"/>
          <w:sz w:val="24"/>
        </w:rPr>
        <w:t>刘俊彦</w:t>
      </w:r>
      <w:r w:rsidRPr="00B635FA">
        <w:rPr>
          <w:rFonts w:ascii="仿宋" w:eastAsia="仿宋" w:hAnsi="仿宋" w:cs="仿宋" w:hint="eastAsia"/>
          <w:sz w:val="24"/>
        </w:rPr>
        <w:t>、</w:t>
      </w:r>
      <w:r w:rsidRPr="00B635FA">
        <w:rPr>
          <w:rFonts w:ascii="仿宋" w:eastAsia="仿宋" w:hAnsi="仿宋" w:cs="仿宋"/>
          <w:sz w:val="24"/>
        </w:rPr>
        <w:t>荆新</w:t>
      </w:r>
      <w:r>
        <w:rPr>
          <w:rFonts w:ascii="仿宋" w:eastAsia="仿宋" w:hAnsi="仿宋" w:cs="仿宋" w:hint="eastAsia"/>
          <w:sz w:val="24"/>
        </w:rPr>
        <w:t>主编，中国人民大学出版社，20</w:t>
      </w:r>
      <w:r>
        <w:rPr>
          <w:rFonts w:ascii="仿宋" w:eastAsia="仿宋" w:hAnsi="仿宋" w:cs="仿宋"/>
          <w:sz w:val="24"/>
        </w:rPr>
        <w:t>21</w:t>
      </w:r>
      <w:r>
        <w:rPr>
          <w:rFonts w:ascii="仿宋" w:eastAsia="仿宋" w:hAnsi="仿宋" w:cs="仿宋" w:hint="eastAsia"/>
          <w:sz w:val="24"/>
        </w:rPr>
        <w:t>。</w:t>
      </w:r>
    </w:p>
    <w:p w:rsidR="001E1B6B" w:rsidRPr="0045118F" w:rsidRDefault="001E1B6B"/>
    <w:sectPr w:rsidR="001E1B6B" w:rsidRPr="0045118F" w:rsidSect="00BC24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B6B" w:rsidRDefault="001E1B6B" w:rsidP="0045118F">
      <w:r>
        <w:separator/>
      </w:r>
    </w:p>
  </w:endnote>
  <w:endnote w:type="continuationSeparator" w:id="1">
    <w:p w:rsidR="001E1B6B" w:rsidRDefault="001E1B6B" w:rsidP="004511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B6B" w:rsidRDefault="001E1B6B" w:rsidP="0045118F">
      <w:r>
        <w:separator/>
      </w:r>
    </w:p>
  </w:footnote>
  <w:footnote w:type="continuationSeparator" w:id="1">
    <w:p w:rsidR="001E1B6B" w:rsidRDefault="001E1B6B" w:rsidP="004511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18F"/>
    <w:rsid w:val="001E1B6B"/>
    <w:rsid w:val="00451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18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5118F"/>
    <w:rPr>
      <w:sz w:val="18"/>
      <w:szCs w:val="18"/>
    </w:rPr>
  </w:style>
  <w:style w:type="paragraph" w:styleId="a4">
    <w:name w:val="footer"/>
    <w:basedOn w:val="a"/>
    <w:link w:val="Char0"/>
    <w:uiPriority w:val="99"/>
    <w:semiHidden/>
    <w:unhideWhenUsed/>
    <w:rsid w:val="0045118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5118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研究生院综合办</dc:creator>
  <cp:keywords/>
  <dc:description/>
  <cp:lastModifiedBy>研究生院综合办</cp:lastModifiedBy>
  <cp:revision>2</cp:revision>
  <dcterms:created xsi:type="dcterms:W3CDTF">2025-03-04T09:27:00Z</dcterms:created>
  <dcterms:modified xsi:type="dcterms:W3CDTF">2025-03-04T09:28:00Z</dcterms:modified>
</cp:coreProperties>
</file>