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61CB5">
      <w:pPr>
        <w:spacing w:line="360" w:lineRule="auto"/>
        <w:jc w:val="center"/>
        <w:rPr>
          <w:b/>
          <w:bCs/>
          <w:sz w:val="36"/>
          <w:szCs w:val="36"/>
        </w:rPr>
      </w:pPr>
      <w:r>
        <w:rPr>
          <w:b/>
          <w:bCs/>
          <w:sz w:val="36"/>
          <w:szCs w:val="36"/>
        </w:rPr>
        <w:t xml:space="preserve">431 </w:t>
      </w:r>
      <w:r>
        <w:rPr>
          <w:rFonts w:hint="eastAsia"/>
          <w:b/>
          <w:bCs/>
          <w:sz w:val="36"/>
          <w:szCs w:val="36"/>
        </w:rPr>
        <w:t>《金融学综合》</w:t>
      </w:r>
      <w:r>
        <w:rPr>
          <w:rFonts w:hint="eastAsia"/>
          <w:b/>
          <w:bCs/>
          <w:sz w:val="36"/>
          <w:szCs w:val="36"/>
          <w:lang w:val="en-US" w:eastAsia="zh-CN"/>
        </w:rPr>
        <w:t>考试</w:t>
      </w:r>
      <w:bookmarkStart w:id="0" w:name="_GoBack"/>
      <w:bookmarkEnd w:id="0"/>
      <w:r>
        <w:rPr>
          <w:rFonts w:hint="eastAsia"/>
          <w:b/>
          <w:bCs/>
          <w:sz w:val="36"/>
          <w:szCs w:val="36"/>
        </w:rPr>
        <w:t>大纲</w:t>
      </w:r>
    </w:p>
    <w:p w14:paraId="2F63BE84">
      <w:pPr>
        <w:spacing w:before="240" w:beforeLines="100" w:line="360" w:lineRule="auto"/>
        <w:rPr>
          <w:b/>
          <w:bCs/>
          <w:sz w:val="24"/>
          <w:szCs w:val="24"/>
        </w:rPr>
      </w:pPr>
      <w:r>
        <w:rPr>
          <w:rFonts w:hint="eastAsia"/>
          <w:b/>
          <w:bCs/>
          <w:sz w:val="24"/>
          <w:szCs w:val="24"/>
        </w:rPr>
        <w:t>一、考试性质</w:t>
      </w:r>
    </w:p>
    <w:p w14:paraId="15615126">
      <w:pPr>
        <w:spacing w:line="360" w:lineRule="auto"/>
        <w:ind w:firstLine="480" w:firstLineChars="200"/>
        <w:rPr>
          <w:sz w:val="24"/>
          <w:szCs w:val="24"/>
        </w:rPr>
      </w:pPr>
      <w:r>
        <w:rPr>
          <w:sz w:val="24"/>
          <w:szCs w:val="24"/>
        </w:rPr>
        <w:t>《金融学综合》（科目代码431）是金融硕士（MF）专业学位研究生入学统一考试的科目之一。该科目考试旨在体现金融硕士专业学位的特点，科学、公平、准确、规范地测评考生的基本素质与综合能力，选拔具有发展潜力的优秀人才入学</w:t>
      </w:r>
      <w:r>
        <w:rPr>
          <w:rFonts w:hint="eastAsia"/>
          <w:sz w:val="24"/>
          <w:szCs w:val="24"/>
        </w:rPr>
        <w:t>，</w:t>
      </w:r>
      <w:r>
        <w:rPr>
          <w:sz w:val="24"/>
          <w:szCs w:val="24"/>
        </w:rPr>
        <w:t>为国家经济建设培养具备良好职业道德、较强分析与解决实际问题能力的高层次、应用型、复合型金融专业人才。</w:t>
      </w:r>
    </w:p>
    <w:p w14:paraId="6700B9BF">
      <w:pPr>
        <w:spacing w:before="240" w:beforeLines="100" w:line="360" w:lineRule="auto"/>
        <w:rPr>
          <w:b/>
          <w:bCs/>
          <w:sz w:val="24"/>
          <w:szCs w:val="24"/>
        </w:rPr>
      </w:pPr>
      <w:r>
        <w:rPr>
          <w:rFonts w:hint="eastAsia"/>
          <w:b/>
          <w:bCs/>
          <w:sz w:val="24"/>
          <w:szCs w:val="24"/>
        </w:rPr>
        <w:t>二、考试要求</w:t>
      </w:r>
    </w:p>
    <w:p w14:paraId="7B5FAE41">
      <w:pPr>
        <w:spacing w:before="240" w:beforeLines="100" w:line="360" w:lineRule="auto"/>
        <w:ind w:firstLine="480" w:firstLineChars="200"/>
        <w:rPr>
          <w:sz w:val="24"/>
          <w:szCs w:val="24"/>
        </w:rPr>
      </w:pPr>
      <w:r>
        <w:rPr>
          <w:sz w:val="24"/>
          <w:szCs w:val="24"/>
        </w:rPr>
        <w:t>本项考试要求学生熟练掌握金融学、投资学、公司金融等学科的基本概念、基础理论和基本分析方法，旨在考查学生对这些知识的掌握程度，以及运用所学知识分析问题和解决问题的能力。</w:t>
      </w:r>
    </w:p>
    <w:p w14:paraId="62932CFB">
      <w:pPr>
        <w:spacing w:before="240" w:beforeLines="100" w:line="360" w:lineRule="auto"/>
        <w:rPr>
          <w:b/>
          <w:bCs/>
          <w:sz w:val="24"/>
          <w:szCs w:val="24"/>
        </w:rPr>
      </w:pPr>
      <w:r>
        <w:rPr>
          <w:rFonts w:hint="eastAsia"/>
          <w:b/>
          <w:bCs/>
          <w:sz w:val="24"/>
          <w:szCs w:val="24"/>
        </w:rPr>
        <w:t>三、考试方式与分值</w:t>
      </w:r>
      <w:r>
        <w:rPr>
          <w:b/>
          <w:bCs/>
          <w:sz w:val="24"/>
          <w:szCs w:val="24"/>
        </w:rPr>
        <w:t xml:space="preserve"> </w:t>
      </w:r>
    </w:p>
    <w:p w14:paraId="5199D64E">
      <w:pPr>
        <w:spacing w:line="360" w:lineRule="auto"/>
        <w:ind w:firstLine="480" w:firstLineChars="200"/>
        <w:rPr>
          <w:rFonts w:hint="eastAsia"/>
          <w:sz w:val="24"/>
          <w:szCs w:val="24"/>
        </w:rPr>
      </w:pPr>
      <w:r>
        <w:rPr>
          <w:sz w:val="24"/>
          <w:szCs w:val="24"/>
        </w:rPr>
        <w:t>本考试科目采用闭卷笔试形式，考试时间为3小时，满分为150分。试卷在天津市考试院的统筹下统一命制，考试纳入全国统一考试。</w:t>
      </w:r>
    </w:p>
    <w:p w14:paraId="781C8D72">
      <w:pPr>
        <w:spacing w:line="360" w:lineRule="auto"/>
        <w:ind w:firstLine="480" w:firstLineChars="200"/>
        <w:rPr>
          <w:rFonts w:hint="eastAsia"/>
          <w:sz w:val="24"/>
          <w:szCs w:val="24"/>
        </w:rPr>
      </w:pPr>
      <w:r>
        <w:rPr>
          <w:rFonts w:hint="eastAsia"/>
          <w:sz w:val="24"/>
          <w:szCs w:val="24"/>
        </w:rPr>
        <w:t>《金融学综合》科目考查内容涵盖金融学、投资学、公司金融等课程知识，以及运用相关知识对国内外重要金融政策和重大问题进行分析论述的能力。各部分分值比例大致为：金融学约占30%～40%，投资学与公司金融约占50%～60%，分析论述题约占10%～20%。</w:t>
      </w:r>
    </w:p>
    <w:p w14:paraId="18A6AB80">
      <w:pPr>
        <w:spacing w:before="240" w:beforeLines="100" w:line="360" w:lineRule="auto"/>
        <w:rPr>
          <w:b/>
          <w:bCs/>
          <w:sz w:val="24"/>
          <w:szCs w:val="24"/>
        </w:rPr>
      </w:pPr>
      <w:r>
        <w:rPr>
          <w:rFonts w:hint="eastAsia"/>
          <w:b/>
          <w:bCs/>
          <w:sz w:val="24"/>
          <w:szCs w:val="24"/>
        </w:rPr>
        <w:t>四</w:t>
      </w:r>
      <w:r>
        <w:rPr>
          <w:b/>
          <w:bCs/>
          <w:sz w:val="24"/>
          <w:szCs w:val="24"/>
        </w:rPr>
        <w:t>、考试内容</w:t>
      </w:r>
    </w:p>
    <w:p w14:paraId="4D0DFCDB">
      <w:pPr>
        <w:spacing w:line="360" w:lineRule="auto"/>
        <w:jc w:val="center"/>
        <w:rPr>
          <w:b/>
          <w:bCs/>
          <w:sz w:val="24"/>
          <w:szCs w:val="24"/>
        </w:rPr>
      </w:pPr>
      <w:r>
        <w:rPr>
          <w:rFonts w:hint="eastAsia"/>
          <w:b/>
          <w:bCs/>
          <w:sz w:val="24"/>
          <w:szCs w:val="24"/>
        </w:rPr>
        <w:t xml:space="preserve">第一部分 </w:t>
      </w:r>
      <w:r>
        <w:rPr>
          <w:b/>
          <w:bCs/>
          <w:sz w:val="24"/>
          <w:szCs w:val="24"/>
        </w:rPr>
        <w:t xml:space="preserve"> 金融学</w:t>
      </w:r>
    </w:p>
    <w:p w14:paraId="47B890CD">
      <w:pPr>
        <w:pStyle w:val="32"/>
        <w:numPr>
          <w:ilvl w:val="0"/>
          <w:numId w:val="1"/>
        </w:numPr>
        <w:spacing w:line="360" w:lineRule="auto"/>
        <w:rPr>
          <w:rFonts w:hint="eastAsia" w:ascii="宋体" w:hAnsi="宋体" w:eastAsia="宋体"/>
        </w:rPr>
      </w:pPr>
      <w:r>
        <w:rPr>
          <w:rFonts w:ascii="宋体" w:hAnsi="宋体" w:eastAsia="宋体"/>
        </w:rPr>
        <w:t>货币与信用</w:t>
      </w:r>
    </w:p>
    <w:p w14:paraId="4953C1EB">
      <w:pPr>
        <w:pStyle w:val="32"/>
        <w:numPr>
          <w:ilvl w:val="0"/>
          <w:numId w:val="1"/>
        </w:numPr>
        <w:spacing w:line="360" w:lineRule="auto"/>
        <w:rPr>
          <w:rFonts w:hint="eastAsia" w:ascii="宋体" w:hAnsi="宋体" w:eastAsia="宋体"/>
        </w:rPr>
      </w:pPr>
      <w:r>
        <w:rPr>
          <w:rFonts w:hint="eastAsia" w:ascii="宋体" w:hAnsi="宋体" w:eastAsia="宋体"/>
        </w:rPr>
        <w:t>金融市场与金融工具</w:t>
      </w:r>
    </w:p>
    <w:p w14:paraId="4AEF059B">
      <w:pPr>
        <w:pStyle w:val="32"/>
        <w:numPr>
          <w:ilvl w:val="0"/>
          <w:numId w:val="1"/>
        </w:numPr>
        <w:spacing w:line="360" w:lineRule="auto"/>
        <w:rPr>
          <w:rFonts w:hint="eastAsia" w:ascii="宋体" w:hAnsi="宋体" w:eastAsia="宋体"/>
        </w:rPr>
      </w:pPr>
      <w:r>
        <w:rPr>
          <w:rFonts w:hint="eastAsia" w:ascii="宋体" w:hAnsi="宋体" w:eastAsia="宋体"/>
        </w:rPr>
        <w:t>利率及其决定</w:t>
      </w:r>
    </w:p>
    <w:p w14:paraId="05C25A4E">
      <w:pPr>
        <w:pStyle w:val="32"/>
        <w:numPr>
          <w:ilvl w:val="0"/>
          <w:numId w:val="1"/>
        </w:numPr>
        <w:spacing w:line="360" w:lineRule="auto"/>
        <w:rPr>
          <w:rFonts w:hint="eastAsia" w:ascii="宋体" w:hAnsi="宋体" w:eastAsia="宋体"/>
        </w:rPr>
      </w:pPr>
      <w:r>
        <w:rPr>
          <w:rFonts w:hint="eastAsia" w:ascii="宋体" w:hAnsi="宋体" w:eastAsia="宋体"/>
        </w:rPr>
        <w:t>金融机构体系</w:t>
      </w:r>
    </w:p>
    <w:p w14:paraId="453C0050">
      <w:pPr>
        <w:pStyle w:val="32"/>
        <w:numPr>
          <w:ilvl w:val="0"/>
          <w:numId w:val="1"/>
        </w:numPr>
        <w:spacing w:line="360" w:lineRule="auto"/>
        <w:rPr>
          <w:rFonts w:hint="eastAsia" w:ascii="宋体" w:hAnsi="宋体" w:eastAsia="宋体"/>
        </w:rPr>
      </w:pPr>
      <w:r>
        <w:rPr>
          <w:rFonts w:hint="eastAsia" w:ascii="宋体" w:hAnsi="宋体" w:eastAsia="宋体"/>
        </w:rPr>
        <w:t>中央银行与货币供给</w:t>
      </w:r>
    </w:p>
    <w:p w14:paraId="67BB9515">
      <w:pPr>
        <w:pStyle w:val="32"/>
        <w:numPr>
          <w:ilvl w:val="0"/>
          <w:numId w:val="1"/>
        </w:numPr>
        <w:spacing w:line="360" w:lineRule="auto"/>
        <w:rPr>
          <w:rFonts w:hint="eastAsia" w:ascii="宋体" w:hAnsi="宋体" w:eastAsia="宋体"/>
        </w:rPr>
      </w:pPr>
      <w:r>
        <w:rPr>
          <w:rFonts w:hint="eastAsia" w:ascii="宋体" w:hAnsi="宋体" w:eastAsia="宋体"/>
        </w:rPr>
        <w:t>货币需求与货币政策</w:t>
      </w:r>
    </w:p>
    <w:p w14:paraId="62BB8DBD">
      <w:pPr>
        <w:pStyle w:val="32"/>
        <w:numPr>
          <w:ilvl w:val="0"/>
          <w:numId w:val="1"/>
        </w:numPr>
        <w:spacing w:line="360" w:lineRule="auto"/>
        <w:rPr>
          <w:rFonts w:hint="eastAsia" w:ascii="宋体" w:hAnsi="宋体" w:eastAsia="宋体"/>
        </w:rPr>
      </w:pPr>
      <w:r>
        <w:rPr>
          <w:rFonts w:hint="eastAsia" w:ascii="宋体" w:hAnsi="宋体" w:eastAsia="宋体"/>
        </w:rPr>
        <w:t>通货膨胀与通货紧缩</w:t>
      </w:r>
    </w:p>
    <w:p w14:paraId="4A595BCA">
      <w:pPr>
        <w:pStyle w:val="32"/>
        <w:numPr>
          <w:ilvl w:val="0"/>
          <w:numId w:val="1"/>
        </w:numPr>
        <w:spacing w:line="360" w:lineRule="auto"/>
        <w:rPr>
          <w:rFonts w:hint="eastAsia" w:ascii="宋体" w:hAnsi="宋体" w:eastAsia="宋体"/>
        </w:rPr>
      </w:pPr>
      <w:r>
        <w:rPr>
          <w:rFonts w:ascii="宋体" w:hAnsi="宋体" w:eastAsia="宋体"/>
        </w:rPr>
        <w:t>国际收支</w:t>
      </w:r>
    </w:p>
    <w:p w14:paraId="4AF77A02">
      <w:pPr>
        <w:pStyle w:val="32"/>
        <w:numPr>
          <w:ilvl w:val="0"/>
          <w:numId w:val="1"/>
        </w:numPr>
        <w:spacing w:line="360" w:lineRule="auto"/>
        <w:rPr>
          <w:rFonts w:hint="eastAsia" w:ascii="宋体" w:hAnsi="宋体" w:eastAsia="宋体"/>
        </w:rPr>
      </w:pPr>
      <w:r>
        <w:rPr>
          <w:rFonts w:ascii="宋体" w:hAnsi="宋体" w:eastAsia="宋体"/>
        </w:rPr>
        <w:t>外汇与汇率</w:t>
      </w:r>
    </w:p>
    <w:p w14:paraId="1E188993">
      <w:pPr>
        <w:pStyle w:val="32"/>
        <w:numPr>
          <w:ilvl w:val="0"/>
          <w:numId w:val="1"/>
        </w:numPr>
        <w:spacing w:line="360" w:lineRule="auto"/>
        <w:rPr>
          <w:rFonts w:hint="eastAsia" w:ascii="宋体" w:hAnsi="宋体" w:eastAsia="宋体"/>
        </w:rPr>
      </w:pPr>
      <w:r>
        <w:rPr>
          <w:rFonts w:ascii="宋体" w:hAnsi="宋体" w:eastAsia="宋体"/>
        </w:rPr>
        <w:t>国际资本流动与国际金融危机</w:t>
      </w:r>
    </w:p>
    <w:p w14:paraId="7F994459">
      <w:pPr>
        <w:pStyle w:val="32"/>
        <w:numPr>
          <w:ilvl w:val="0"/>
          <w:numId w:val="1"/>
        </w:numPr>
        <w:spacing w:line="360" w:lineRule="auto"/>
        <w:rPr>
          <w:rFonts w:hint="eastAsia" w:ascii="宋体" w:hAnsi="宋体" w:eastAsia="宋体"/>
        </w:rPr>
      </w:pPr>
      <w:r>
        <w:rPr>
          <w:rFonts w:ascii="宋体" w:hAnsi="宋体" w:eastAsia="宋体"/>
        </w:rPr>
        <w:t>开放经济下的宏观经济政策</w:t>
      </w:r>
    </w:p>
    <w:p w14:paraId="1BE31117">
      <w:pPr>
        <w:pStyle w:val="32"/>
        <w:numPr>
          <w:ilvl w:val="0"/>
          <w:numId w:val="1"/>
        </w:numPr>
        <w:spacing w:line="360" w:lineRule="auto"/>
        <w:rPr>
          <w:rFonts w:hint="eastAsia" w:ascii="宋体" w:hAnsi="宋体" w:eastAsia="宋体"/>
        </w:rPr>
      </w:pPr>
      <w:r>
        <w:rPr>
          <w:rFonts w:ascii="宋体" w:hAnsi="宋体" w:eastAsia="宋体"/>
        </w:rPr>
        <w:t>国际货币体系</w:t>
      </w:r>
    </w:p>
    <w:p w14:paraId="7C231413">
      <w:pPr>
        <w:pStyle w:val="32"/>
        <w:numPr>
          <w:ilvl w:val="0"/>
          <w:numId w:val="1"/>
        </w:numPr>
        <w:spacing w:line="360" w:lineRule="auto"/>
        <w:rPr>
          <w:rFonts w:hint="eastAsia" w:ascii="宋体" w:hAnsi="宋体" w:eastAsia="宋体"/>
        </w:rPr>
      </w:pPr>
      <w:r>
        <w:rPr>
          <w:rFonts w:ascii="宋体" w:hAnsi="宋体" w:eastAsia="宋体"/>
        </w:rPr>
        <w:t>商业银行经营管理</w:t>
      </w:r>
    </w:p>
    <w:p w14:paraId="1F1AABA8">
      <w:pPr>
        <w:pStyle w:val="32"/>
        <w:numPr>
          <w:ilvl w:val="0"/>
          <w:numId w:val="1"/>
        </w:numPr>
        <w:spacing w:line="360" w:lineRule="auto"/>
        <w:rPr>
          <w:rFonts w:hint="eastAsia" w:ascii="宋体" w:hAnsi="宋体" w:eastAsia="宋体"/>
        </w:rPr>
      </w:pPr>
      <w:r>
        <w:rPr>
          <w:rFonts w:hint="eastAsia" w:ascii="宋体" w:hAnsi="宋体" w:eastAsia="宋体"/>
        </w:rPr>
        <w:t>金融监管</w:t>
      </w:r>
    </w:p>
    <w:p w14:paraId="5D3801C1">
      <w:pPr>
        <w:pStyle w:val="32"/>
        <w:numPr>
          <w:ilvl w:val="0"/>
          <w:numId w:val="1"/>
        </w:numPr>
        <w:spacing w:line="360" w:lineRule="auto"/>
        <w:rPr>
          <w:rFonts w:hint="eastAsia" w:ascii="宋体" w:hAnsi="宋体" w:eastAsia="宋体"/>
        </w:rPr>
      </w:pPr>
      <w:r>
        <w:rPr>
          <w:rFonts w:hint="eastAsia" w:ascii="宋体" w:hAnsi="宋体" w:eastAsia="宋体"/>
        </w:rPr>
        <w:t>金融风险管理</w:t>
      </w:r>
    </w:p>
    <w:p w14:paraId="10D60B1D">
      <w:pPr>
        <w:spacing w:line="360" w:lineRule="auto"/>
        <w:jc w:val="center"/>
        <w:rPr>
          <w:b/>
          <w:bCs/>
          <w:sz w:val="24"/>
          <w:szCs w:val="24"/>
        </w:rPr>
      </w:pPr>
      <w:r>
        <w:rPr>
          <w:rFonts w:hint="eastAsia"/>
          <w:b/>
          <w:bCs/>
          <w:sz w:val="24"/>
          <w:szCs w:val="24"/>
        </w:rPr>
        <w:t xml:space="preserve">第二部分 </w:t>
      </w:r>
      <w:r>
        <w:rPr>
          <w:b/>
          <w:bCs/>
          <w:sz w:val="24"/>
          <w:szCs w:val="24"/>
        </w:rPr>
        <w:t xml:space="preserve"> </w:t>
      </w:r>
      <w:r>
        <w:rPr>
          <w:rFonts w:hint="eastAsia"/>
          <w:b/>
          <w:bCs/>
          <w:sz w:val="24"/>
          <w:szCs w:val="24"/>
        </w:rPr>
        <w:t>投资学与公司金融学</w:t>
      </w:r>
    </w:p>
    <w:p w14:paraId="7D4464BA">
      <w:pPr>
        <w:pStyle w:val="32"/>
        <w:numPr>
          <w:ilvl w:val="0"/>
          <w:numId w:val="2"/>
        </w:numPr>
        <w:spacing w:line="360" w:lineRule="auto"/>
        <w:rPr>
          <w:rFonts w:hint="eastAsia" w:ascii="宋体" w:hAnsi="宋体" w:eastAsia="宋体"/>
        </w:rPr>
      </w:pPr>
      <w:r>
        <w:rPr>
          <w:rFonts w:hint="eastAsia" w:ascii="宋体" w:hAnsi="宋体" w:eastAsia="宋体"/>
        </w:rPr>
        <w:t>货币时间价值</w:t>
      </w:r>
    </w:p>
    <w:p w14:paraId="6192CC01">
      <w:pPr>
        <w:pStyle w:val="32"/>
        <w:numPr>
          <w:ilvl w:val="0"/>
          <w:numId w:val="2"/>
        </w:numPr>
        <w:spacing w:line="360" w:lineRule="auto"/>
        <w:rPr>
          <w:rFonts w:hint="eastAsia" w:ascii="宋体" w:hAnsi="宋体" w:eastAsia="宋体"/>
        </w:rPr>
      </w:pPr>
      <w:r>
        <w:rPr>
          <w:rFonts w:hint="eastAsia" w:ascii="宋体" w:hAnsi="宋体" w:eastAsia="宋体"/>
        </w:rPr>
        <w:t>风险与收益</w:t>
      </w:r>
    </w:p>
    <w:p w14:paraId="559B1907">
      <w:pPr>
        <w:pStyle w:val="32"/>
        <w:numPr>
          <w:ilvl w:val="0"/>
          <w:numId w:val="2"/>
        </w:numPr>
        <w:spacing w:line="360" w:lineRule="auto"/>
        <w:rPr>
          <w:rFonts w:hint="eastAsia" w:ascii="宋体" w:hAnsi="宋体" w:eastAsia="宋体"/>
        </w:rPr>
      </w:pPr>
      <w:r>
        <w:rPr>
          <w:rFonts w:hint="eastAsia" w:ascii="宋体" w:hAnsi="宋体" w:eastAsia="宋体"/>
        </w:rPr>
        <w:t>证券的发行和交易</w:t>
      </w:r>
    </w:p>
    <w:p w14:paraId="209926A6">
      <w:pPr>
        <w:pStyle w:val="32"/>
        <w:numPr>
          <w:ilvl w:val="0"/>
          <w:numId w:val="2"/>
        </w:numPr>
        <w:spacing w:line="360" w:lineRule="auto"/>
        <w:rPr>
          <w:rFonts w:hint="eastAsia" w:ascii="宋体" w:hAnsi="宋体" w:eastAsia="宋体"/>
        </w:rPr>
      </w:pPr>
      <w:r>
        <w:rPr>
          <w:rFonts w:hint="eastAsia" w:ascii="宋体" w:hAnsi="宋体" w:eastAsia="宋体"/>
        </w:rPr>
        <w:t>基金与其他投资公司</w:t>
      </w:r>
    </w:p>
    <w:p w14:paraId="57A928DD">
      <w:pPr>
        <w:pStyle w:val="32"/>
        <w:numPr>
          <w:ilvl w:val="0"/>
          <w:numId w:val="2"/>
        </w:numPr>
        <w:spacing w:line="360" w:lineRule="auto"/>
        <w:rPr>
          <w:rFonts w:hint="eastAsia" w:ascii="宋体" w:hAnsi="宋体" w:eastAsia="宋体"/>
        </w:rPr>
      </w:pPr>
      <w:r>
        <w:rPr>
          <w:rFonts w:hint="eastAsia" w:ascii="宋体" w:hAnsi="宋体" w:eastAsia="宋体"/>
        </w:rPr>
        <w:t>投资组合理论</w:t>
      </w:r>
    </w:p>
    <w:p w14:paraId="74414F95">
      <w:pPr>
        <w:pStyle w:val="32"/>
        <w:numPr>
          <w:ilvl w:val="0"/>
          <w:numId w:val="2"/>
        </w:numPr>
        <w:spacing w:line="360" w:lineRule="auto"/>
        <w:rPr>
          <w:rFonts w:hint="eastAsia" w:ascii="宋体" w:hAnsi="宋体" w:eastAsia="宋体"/>
        </w:rPr>
      </w:pPr>
      <w:r>
        <w:rPr>
          <w:rFonts w:hint="eastAsia" w:ascii="宋体" w:hAnsi="宋体" w:eastAsia="宋体"/>
        </w:rPr>
        <w:t>指数模型</w:t>
      </w:r>
    </w:p>
    <w:p w14:paraId="52B949DA">
      <w:pPr>
        <w:pStyle w:val="32"/>
        <w:numPr>
          <w:ilvl w:val="0"/>
          <w:numId w:val="2"/>
        </w:numPr>
        <w:spacing w:line="360" w:lineRule="auto"/>
        <w:rPr>
          <w:rFonts w:hint="eastAsia" w:ascii="宋体" w:hAnsi="宋体" w:eastAsia="宋体"/>
        </w:rPr>
      </w:pPr>
      <w:r>
        <w:rPr>
          <w:rFonts w:hint="eastAsia" w:ascii="宋体" w:hAnsi="宋体" w:eastAsia="宋体"/>
        </w:rPr>
        <w:t>资本资产定价模型</w:t>
      </w:r>
    </w:p>
    <w:p w14:paraId="5EB5FD39">
      <w:pPr>
        <w:pStyle w:val="32"/>
        <w:numPr>
          <w:ilvl w:val="0"/>
          <w:numId w:val="2"/>
        </w:numPr>
        <w:spacing w:line="360" w:lineRule="auto"/>
        <w:rPr>
          <w:rFonts w:hint="eastAsia" w:ascii="宋体" w:hAnsi="宋体" w:eastAsia="宋体"/>
        </w:rPr>
      </w:pPr>
      <w:r>
        <w:rPr>
          <w:rFonts w:hint="eastAsia" w:ascii="宋体" w:hAnsi="宋体" w:eastAsia="宋体"/>
        </w:rPr>
        <w:t>有效市场理论与行为金融</w:t>
      </w:r>
    </w:p>
    <w:p w14:paraId="06C05AE3">
      <w:pPr>
        <w:pStyle w:val="32"/>
        <w:numPr>
          <w:ilvl w:val="0"/>
          <w:numId w:val="2"/>
        </w:numPr>
        <w:spacing w:line="360" w:lineRule="auto"/>
        <w:rPr>
          <w:rFonts w:hint="eastAsia" w:ascii="宋体" w:hAnsi="宋体" w:eastAsia="宋体"/>
        </w:rPr>
      </w:pPr>
      <w:r>
        <w:rPr>
          <w:rFonts w:hint="eastAsia" w:ascii="宋体" w:hAnsi="宋体" w:eastAsia="宋体"/>
        </w:rPr>
        <w:t>权益证券分析</w:t>
      </w:r>
    </w:p>
    <w:p w14:paraId="1C6B6E84">
      <w:pPr>
        <w:pStyle w:val="32"/>
        <w:numPr>
          <w:ilvl w:val="0"/>
          <w:numId w:val="2"/>
        </w:numPr>
        <w:spacing w:line="360" w:lineRule="auto"/>
        <w:rPr>
          <w:rFonts w:hint="eastAsia" w:ascii="宋体" w:hAnsi="宋体" w:eastAsia="宋体"/>
        </w:rPr>
      </w:pPr>
      <w:r>
        <w:rPr>
          <w:rFonts w:hint="eastAsia" w:ascii="宋体" w:hAnsi="宋体" w:eastAsia="宋体"/>
        </w:rPr>
        <w:t>固定收益证券分析</w:t>
      </w:r>
    </w:p>
    <w:p w14:paraId="607B6C55">
      <w:pPr>
        <w:pStyle w:val="32"/>
        <w:numPr>
          <w:ilvl w:val="0"/>
          <w:numId w:val="2"/>
        </w:numPr>
        <w:spacing w:line="360" w:lineRule="auto"/>
        <w:rPr>
          <w:rFonts w:hint="eastAsia" w:ascii="宋体" w:hAnsi="宋体" w:eastAsia="宋体"/>
        </w:rPr>
      </w:pPr>
      <w:r>
        <w:rPr>
          <w:rFonts w:hint="eastAsia" w:ascii="宋体" w:hAnsi="宋体" w:eastAsia="宋体"/>
        </w:rPr>
        <w:t>衍生证券分析</w:t>
      </w:r>
    </w:p>
    <w:p w14:paraId="334EB2EE">
      <w:pPr>
        <w:pStyle w:val="32"/>
        <w:numPr>
          <w:ilvl w:val="0"/>
          <w:numId w:val="2"/>
        </w:numPr>
        <w:spacing w:line="360" w:lineRule="auto"/>
        <w:rPr>
          <w:rFonts w:hint="eastAsia" w:ascii="宋体" w:hAnsi="宋体" w:eastAsia="宋体"/>
        </w:rPr>
      </w:pPr>
      <w:r>
        <w:rPr>
          <w:rFonts w:hint="eastAsia" w:ascii="宋体" w:hAnsi="宋体" w:eastAsia="宋体"/>
        </w:rPr>
        <w:t>套利定价理论与风险收益多因素模型</w:t>
      </w:r>
    </w:p>
    <w:p w14:paraId="147A8807">
      <w:pPr>
        <w:pStyle w:val="32"/>
        <w:numPr>
          <w:ilvl w:val="0"/>
          <w:numId w:val="2"/>
        </w:numPr>
        <w:spacing w:line="360" w:lineRule="auto"/>
        <w:rPr>
          <w:rFonts w:hint="eastAsia" w:ascii="宋体" w:hAnsi="宋体" w:eastAsia="宋体"/>
        </w:rPr>
      </w:pPr>
      <w:r>
        <w:rPr>
          <w:rFonts w:hint="eastAsia" w:ascii="宋体" w:hAnsi="宋体" w:eastAsia="宋体"/>
        </w:rPr>
        <w:t xml:space="preserve">代理问题与公司控制 </w:t>
      </w:r>
    </w:p>
    <w:p w14:paraId="3BC13E0C">
      <w:pPr>
        <w:pStyle w:val="32"/>
        <w:numPr>
          <w:ilvl w:val="0"/>
          <w:numId w:val="2"/>
        </w:numPr>
        <w:spacing w:line="360" w:lineRule="auto"/>
        <w:rPr>
          <w:rFonts w:hint="eastAsia" w:ascii="宋体" w:hAnsi="宋体" w:eastAsia="宋体"/>
        </w:rPr>
      </w:pPr>
      <w:r>
        <w:rPr>
          <w:rFonts w:hint="eastAsia" w:ascii="宋体" w:hAnsi="宋体" w:eastAsia="宋体"/>
        </w:rPr>
        <w:t>财务报表分析和现金流管理</w:t>
      </w:r>
    </w:p>
    <w:p w14:paraId="7F763377">
      <w:pPr>
        <w:pStyle w:val="32"/>
        <w:numPr>
          <w:ilvl w:val="0"/>
          <w:numId w:val="2"/>
        </w:numPr>
        <w:spacing w:line="360" w:lineRule="auto"/>
        <w:rPr>
          <w:rFonts w:hint="eastAsia" w:ascii="宋体" w:hAnsi="宋体" w:eastAsia="宋体"/>
        </w:rPr>
      </w:pPr>
      <w:r>
        <w:rPr>
          <w:rFonts w:hint="eastAsia" w:ascii="宋体" w:hAnsi="宋体" w:eastAsia="宋体"/>
        </w:rPr>
        <w:t>未来现金流的价值评估</w:t>
      </w:r>
    </w:p>
    <w:p w14:paraId="74A145A7">
      <w:pPr>
        <w:pStyle w:val="32"/>
        <w:numPr>
          <w:ilvl w:val="0"/>
          <w:numId w:val="2"/>
        </w:numPr>
        <w:spacing w:line="360" w:lineRule="auto"/>
        <w:rPr>
          <w:rFonts w:hint="eastAsia" w:ascii="宋体" w:hAnsi="宋体" w:eastAsia="宋体"/>
        </w:rPr>
      </w:pPr>
      <w:r>
        <w:rPr>
          <w:rFonts w:hint="eastAsia" w:ascii="宋体" w:hAnsi="宋体" w:eastAsia="宋体"/>
        </w:rPr>
        <w:t xml:space="preserve">股票的价值评估 </w:t>
      </w:r>
    </w:p>
    <w:p w14:paraId="69FA0762">
      <w:pPr>
        <w:pStyle w:val="32"/>
        <w:numPr>
          <w:ilvl w:val="0"/>
          <w:numId w:val="2"/>
        </w:numPr>
        <w:spacing w:line="360" w:lineRule="auto"/>
        <w:rPr>
          <w:rFonts w:hint="eastAsia" w:ascii="宋体" w:hAnsi="宋体" w:eastAsia="宋体"/>
        </w:rPr>
      </w:pPr>
      <w:r>
        <w:rPr>
          <w:rFonts w:hint="eastAsia" w:ascii="宋体" w:hAnsi="宋体" w:eastAsia="宋体"/>
        </w:rPr>
        <w:t>债券的定价</w:t>
      </w:r>
    </w:p>
    <w:p w14:paraId="37FA3436">
      <w:pPr>
        <w:pStyle w:val="32"/>
        <w:numPr>
          <w:ilvl w:val="0"/>
          <w:numId w:val="2"/>
        </w:numPr>
        <w:spacing w:line="360" w:lineRule="auto"/>
        <w:rPr>
          <w:rFonts w:hint="eastAsia" w:ascii="宋体" w:hAnsi="宋体" w:eastAsia="宋体"/>
        </w:rPr>
      </w:pPr>
      <w:r>
        <w:rPr>
          <w:rFonts w:hint="eastAsia" w:ascii="宋体" w:hAnsi="宋体" w:eastAsia="宋体"/>
        </w:rPr>
        <w:t>资本预算</w:t>
      </w:r>
    </w:p>
    <w:p w14:paraId="14B1CDE4">
      <w:pPr>
        <w:pStyle w:val="32"/>
        <w:numPr>
          <w:ilvl w:val="0"/>
          <w:numId w:val="2"/>
        </w:numPr>
        <w:spacing w:line="360" w:lineRule="auto"/>
        <w:rPr>
          <w:rFonts w:hint="eastAsia" w:ascii="宋体" w:hAnsi="宋体" w:eastAsia="宋体"/>
        </w:rPr>
      </w:pPr>
      <w:r>
        <w:rPr>
          <w:rFonts w:hint="eastAsia" w:ascii="宋体" w:hAnsi="宋体" w:eastAsia="宋体"/>
        </w:rPr>
        <w:t>长期融资</w:t>
      </w:r>
    </w:p>
    <w:p w14:paraId="0434683E">
      <w:pPr>
        <w:pStyle w:val="32"/>
        <w:numPr>
          <w:ilvl w:val="0"/>
          <w:numId w:val="2"/>
        </w:numPr>
        <w:spacing w:line="360" w:lineRule="auto"/>
        <w:rPr>
          <w:rFonts w:hint="eastAsia" w:ascii="宋体" w:hAnsi="宋体" w:eastAsia="宋体"/>
        </w:rPr>
      </w:pPr>
      <w:r>
        <w:rPr>
          <w:rFonts w:hint="eastAsia" w:ascii="宋体" w:hAnsi="宋体" w:eastAsia="宋体"/>
        </w:rPr>
        <w:t>资本成本</w:t>
      </w:r>
    </w:p>
    <w:p w14:paraId="698FBFC7">
      <w:pPr>
        <w:pStyle w:val="32"/>
        <w:numPr>
          <w:ilvl w:val="0"/>
          <w:numId w:val="2"/>
        </w:numPr>
        <w:spacing w:line="360" w:lineRule="auto"/>
        <w:rPr>
          <w:rFonts w:hint="eastAsia" w:ascii="宋体" w:hAnsi="宋体" w:eastAsia="宋体"/>
        </w:rPr>
      </w:pPr>
      <w:r>
        <w:rPr>
          <w:rFonts w:hint="eastAsia" w:ascii="宋体" w:hAnsi="宋体" w:eastAsia="宋体"/>
        </w:rPr>
        <w:t>杠杆分析</w:t>
      </w:r>
    </w:p>
    <w:p w14:paraId="4ABD2A68">
      <w:pPr>
        <w:pStyle w:val="32"/>
        <w:numPr>
          <w:ilvl w:val="0"/>
          <w:numId w:val="2"/>
        </w:numPr>
        <w:spacing w:line="360" w:lineRule="auto"/>
        <w:rPr>
          <w:rFonts w:hint="eastAsia" w:ascii="宋体" w:hAnsi="宋体" w:eastAsia="宋体"/>
        </w:rPr>
      </w:pPr>
      <w:r>
        <w:rPr>
          <w:rFonts w:hint="eastAsia" w:ascii="宋体" w:hAnsi="宋体" w:eastAsia="宋体"/>
        </w:rPr>
        <w:t>资本结构与股利政策</w:t>
      </w:r>
    </w:p>
    <w:p w14:paraId="5610ADF3">
      <w:pPr>
        <w:pStyle w:val="32"/>
        <w:numPr>
          <w:ilvl w:val="0"/>
          <w:numId w:val="2"/>
        </w:numPr>
        <w:spacing w:line="360" w:lineRule="auto"/>
        <w:rPr>
          <w:rFonts w:hint="eastAsia" w:ascii="宋体" w:hAnsi="宋体" w:eastAsia="宋体"/>
        </w:rPr>
      </w:pPr>
      <w:r>
        <w:rPr>
          <w:rFonts w:hint="eastAsia" w:ascii="宋体" w:hAnsi="宋体" w:eastAsia="宋体"/>
        </w:rPr>
        <w:t>财务规划与短期融资</w:t>
      </w:r>
    </w:p>
    <w:p w14:paraId="31F7F783">
      <w:pPr>
        <w:pStyle w:val="32"/>
        <w:numPr>
          <w:ilvl w:val="0"/>
          <w:numId w:val="2"/>
        </w:numPr>
        <w:spacing w:line="360" w:lineRule="auto"/>
        <w:rPr>
          <w:rFonts w:hint="eastAsia" w:ascii="宋体" w:hAnsi="宋体" w:eastAsia="宋体"/>
        </w:rPr>
      </w:pPr>
      <w:r>
        <w:rPr>
          <w:rFonts w:hint="eastAsia" w:ascii="宋体" w:hAnsi="宋体" w:eastAsia="宋体"/>
        </w:rPr>
        <w:t>公司治理</w:t>
      </w:r>
    </w:p>
    <w:p w14:paraId="12103DC5">
      <w:pPr>
        <w:spacing w:before="240" w:beforeLines="100" w:line="360" w:lineRule="auto"/>
        <w:rPr>
          <w:b/>
          <w:bCs/>
          <w:sz w:val="24"/>
          <w:szCs w:val="24"/>
        </w:rPr>
      </w:pPr>
      <w:r>
        <w:rPr>
          <w:rFonts w:hint="eastAsia"/>
          <w:b/>
          <w:bCs/>
          <w:sz w:val="24"/>
          <w:szCs w:val="24"/>
        </w:rPr>
        <w:t>五、其他说明</w:t>
      </w:r>
    </w:p>
    <w:p w14:paraId="6AE33D22">
      <w:pPr>
        <w:spacing w:line="360" w:lineRule="auto"/>
        <w:ind w:firstLine="480" w:firstLineChars="200"/>
        <w:rPr>
          <w:rFonts w:ascii="Times New Roman" w:hAnsi="Times New Roman" w:cs="Times New Roman"/>
          <w:kern w:val="0"/>
          <w:szCs w:val="21"/>
        </w:rPr>
      </w:pPr>
      <w:r>
        <w:rPr>
          <w:sz w:val="24"/>
          <w:szCs w:val="24"/>
        </w:rPr>
        <w:t>考试不指定参考书目，不举办任何形式的专业课辅导。</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Print"/>
    <w:panose1 w:val="00000000000000000000"/>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Print"/>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4653527"/>
      <w:docPartObj>
        <w:docPartGallery w:val="AutoText"/>
      </w:docPartObj>
    </w:sdtPr>
    <w:sdtContent>
      <w:p w14:paraId="5031A23C">
        <w:pPr>
          <w:pStyle w:val="1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46A8019A">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EC130">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D05BB">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E42A">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D7307">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E7680">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69208D"/>
    <w:multiLevelType w:val="multilevel"/>
    <w:tmpl w:val="0D69208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6B01624"/>
    <w:multiLevelType w:val="multilevel"/>
    <w:tmpl w:val="16B0162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Y2NzU3MDYyszAyMDdS0lEKTi0uzszPAykwqgUAPd8XmywAAAA="/>
  </w:docVars>
  <w:rsids>
    <w:rsidRoot w:val="002F4661"/>
    <w:rsid w:val="00067AE9"/>
    <w:rsid w:val="000733B4"/>
    <w:rsid w:val="000E026B"/>
    <w:rsid w:val="00110CF2"/>
    <w:rsid w:val="00113952"/>
    <w:rsid w:val="00126CA8"/>
    <w:rsid w:val="00137157"/>
    <w:rsid w:val="00152307"/>
    <w:rsid w:val="00173D06"/>
    <w:rsid w:val="00175686"/>
    <w:rsid w:val="001802B9"/>
    <w:rsid w:val="00196A67"/>
    <w:rsid w:val="001974A8"/>
    <w:rsid w:val="001A07F1"/>
    <w:rsid w:val="001A6100"/>
    <w:rsid w:val="001E4869"/>
    <w:rsid w:val="002601BD"/>
    <w:rsid w:val="00271A94"/>
    <w:rsid w:val="002B0271"/>
    <w:rsid w:val="002B2963"/>
    <w:rsid w:val="002F4661"/>
    <w:rsid w:val="0032089B"/>
    <w:rsid w:val="00327498"/>
    <w:rsid w:val="003304F4"/>
    <w:rsid w:val="00332ED2"/>
    <w:rsid w:val="00361BFC"/>
    <w:rsid w:val="003639EE"/>
    <w:rsid w:val="003667E1"/>
    <w:rsid w:val="003C36C2"/>
    <w:rsid w:val="00417F1B"/>
    <w:rsid w:val="004376E8"/>
    <w:rsid w:val="004E6DAE"/>
    <w:rsid w:val="005559FB"/>
    <w:rsid w:val="0056736B"/>
    <w:rsid w:val="00584A14"/>
    <w:rsid w:val="005A5271"/>
    <w:rsid w:val="005E05E8"/>
    <w:rsid w:val="005E1C84"/>
    <w:rsid w:val="006745CB"/>
    <w:rsid w:val="00730627"/>
    <w:rsid w:val="00741B45"/>
    <w:rsid w:val="007A6099"/>
    <w:rsid w:val="00836811"/>
    <w:rsid w:val="00844ECF"/>
    <w:rsid w:val="00850E71"/>
    <w:rsid w:val="00855CC1"/>
    <w:rsid w:val="0087556E"/>
    <w:rsid w:val="008971F4"/>
    <w:rsid w:val="008F15D9"/>
    <w:rsid w:val="009122FA"/>
    <w:rsid w:val="00916F1A"/>
    <w:rsid w:val="0092095C"/>
    <w:rsid w:val="009256D8"/>
    <w:rsid w:val="00960933"/>
    <w:rsid w:val="00990CC0"/>
    <w:rsid w:val="009E1AB7"/>
    <w:rsid w:val="00A57DB7"/>
    <w:rsid w:val="00AC0F08"/>
    <w:rsid w:val="00AC2B57"/>
    <w:rsid w:val="00AF5120"/>
    <w:rsid w:val="00B07DBF"/>
    <w:rsid w:val="00B40516"/>
    <w:rsid w:val="00B83F5A"/>
    <w:rsid w:val="00B84165"/>
    <w:rsid w:val="00BC6B81"/>
    <w:rsid w:val="00C77B2C"/>
    <w:rsid w:val="00C80232"/>
    <w:rsid w:val="00C97D3D"/>
    <w:rsid w:val="00CB0E91"/>
    <w:rsid w:val="00CB2B38"/>
    <w:rsid w:val="00D43488"/>
    <w:rsid w:val="00D56EEC"/>
    <w:rsid w:val="00D808BC"/>
    <w:rsid w:val="00D8430D"/>
    <w:rsid w:val="00D93C9C"/>
    <w:rsid w:val="00D952D3"/>
    <w:rsid w:val="00DA0C39"/>
    <w:rsid w:val="00DE0F12"/>
    <w:rsid w:val="00E17A83"/>
    <w:rsid w:val="00E354C7"/>
    <w:rsid w:val="00E82B02"/>
    <w:rsid w:val="00E832C2"/>
    <w:rsid w:val="00F41E8E"/>
    <w:rsid w:val="00F63509"/>
    <w:rsid w:val="00F71C51"/>
    <w:rsid w:val="0B181232"/>
    <w:rsid w:val="0EF97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黑体"/>
      <w:kern w:val="2"/>
      <w:sz w:val="21"/>
      <w:szCs w:val="22"/>
      <w:lang w:val="en-US" w:eastAsia="zh-CN" w:bidi="ar-SA"/>
      <w14:ligatures w14:val="none"/>
    </w:rPr>
  </w:style>
  <w:style w:type="paragraph" w:styleId="2">
    <w:name w:val="heading 1"/>
    <w:basedOn w:val="1"/>
    <w:next w:val="1"/>
    <w:link w:val="19"/>
    <w:qFormat/>
    <w:uiPriority w:val="9"/>
    <w:pPr>
      <w:keepNext/>
      <w:keepLines/>
      <w:widowControl/>
      <w:spacing w:before="360" w:after="80" w:line="278" w:lineRule="auto"/>
      <w:jc w:val="left"/>
      <w:outlineLvl w:val="0"/>
    </w:pPr>
    <w:rPr>
      <w:rFonts w:asciiTheme="majorHAnsi" w:hAnsiTheme="majorHAnsi" w:eastAsiaTheme="majorEastAsia" w:cstheme="majorBidi"/>
      <w:color w:val="104862" w:themeColor="accent1" w:themeShade="BF"/>
      <w:sz w:val="40"/>
      <w:szCs w:val="40"/>
      <w14:ligatures w14:val="standardContextual"/>
    </w:rPr>
  </w:style>
  <w:style w:type="paragraph" w:styleId="3">
    <w:name w:val="heading 2"/>
    <w:basedOn w:val="1"/>
    <w:next w:val="1"/>
    <w:link w:val="20"/>
    <w:semiHidden/>
    <w:unhideWhenUsed/>
    <w:qFormat/>
    <w:uiPriority w:val="9"/>
    <w:pPr>
      <w:keepNext/>
      <w:keepLines/>
      <w:widowControl/>
      <w:spacing w:before="160" w:after="80" w:line="278" w:lineRule="auto"/>
      <w:jc w:val="left"/>
      <w:outlineLvl w:val="1"/>
    </w:pPr>
    <w:rPr>
      <w:rFonts w:asciiTheme="majorHAnsi" w:hAnsiTheme="majorHAnsi" w:eastAsiaTheme="majorEastAsia" w:cstheme="majorBidi"/>
      <w:color w:val="104862" w:themeColor="accent1" w:themeShade="BF"/>
      <w:sz w:val="32"/>
      <w:szCs w:val="32"/>
      <w14:ligatures w14:val="standardContextual"/>
    </w:rPr>
  </w:style>
  <w:style w:type="paragraph" w:styleId="4">
    <w:name w:val="heading 3"/>
    <w:basedOn w:val="1"/>
    <w:next w:val="1"/>
    <w:link w:val="21"/>
    <w:semiHidden/>
    <w:unhideWhenUsed/>
    <w:qFormat/>
    <w:uiPriority w:val="9"/>
    <w:pPr>
      <w:keepNext/>
      <w:keepLines/>
      <w:widowControl/>
      <w:spacing w:before="160" w:after="80" w:line="278" w:lineRule="auto"/>
      <w:jc w:val="left"/>
      <w:outlineLvl w:val="2"/>
    </w:pPr>
    <w:rPr>
      <w:rFonts w:asciiTheme="minorHAnsi" w:hAnsiTheme="minorHAnsi" w:eastAsiaTheme="majorEastAsia" w:cstheme="majorBidi"/>
      <w:color w:val="104862" w:themeColor="accent1" w:themeShade="BF"/>
      <w:sz w:val="28"/>
      <w:szCs w:val="28"/>
      <w14:ligatures w14:val="standardContextual"/>
    </w:rPr>
  </w:style>
  <w:style w:type="paragraph" w:styleId="5">
    <w:name w:val="heading 4"/>
    <w:basedOn w:val="1"/>
    <w:next w:val="1"/>
    <w:link w:val="22"/>
    <w:semiHidden/>
    <w:unhideWhenUsed/>
    <w:qFormat/>
    <w:uiPriority w:val="9"/>
    <w:pPr>
      <w:keepNext/>
      <w:keepLines/>
      <w:widowControl/>
      <w:spacing w:before="80" w:after="40" w:line="278" w:lineRule="auto"/>
      <w:jc w:val="left"/>
      <w:outlineLvl w:val="3"/>
    </w:pPr>
    <w:rPr>
      <w:rFonts w:asciiTheme="minorHAnsi" w:hAnsiTheme="minorHAnsi" w:eastAsiaTheme="majorEastAsia" w:cstheme="majorBidi"/>
      <w:i/>
      <w:iCs/>
      <w:color w:val="104862" w:themeColor="accent1" w:themeShade="BF"/>
      <w:sz w:val="24"/>
      <w:szCs w:val="24"/>
      <w14:ligatures w14:val="standardContextual"/>
    </w:rPr>
  </w:style>
  <w:style w:type="paragraph" w:styleId="6">
    <w:name w:val="heading 5"/>
    <w:basedOn w:val="1"/>
    <w:next w:val="1"/>
    <w:link w:val="23"/>
    <w:semiHidden/>
    <w:unhideWhenUsed/>
    <w:qFormat/>
    <w:uiPriority w:val="9"/>
    <w:pPr>
      <w:keepNext/>
      <w:keepLines/>
      <w:widowControl/>
      <w:spacing w:before="80" w:after="40" w:line="278" w:lineRule="auto"/>
      <w:jc w:val="left"/>
      <w:outlineLvl w:val="4"/>
    </w:pPr>
    <w:rPr>
      <w:rFonts w:asciiTheme="minorHAnsi" w:hAnsiTheme="minorHAnsi" w:eastAsiaTheme="majorEastAsia" w:cstheme="majorBidi"/>
      <w:color w:val="104862" w:themeColor="accent1" w:themeShade="BF"/>
      <w:sz w:val="24"/>
      <w:szCs w:val="24"/>
      <w14:ligatures w14:val="standardContextual"/>
    </w:rPr>
  </w:style>
  <w:style w:type="paragraph" w:styleId="7">
    <w:name w:val="heading 6"/>
    <w:basedOn w:val="1"/>
    <w:next w:val="1"/>
    <w:link w:val="24"/>
    <w:semiHidden/>
    <w:unhideWhenUsed/>
    <w:qFormat/>
    <w:uiPriority w:val="9"/>
    <w:pPr>
      <w:keepNext/>
      <w:keepLines/>
      <w:widowControl/>
      <w:spacing w:before="40" w:line="278" w:lineRule="auto"/>
      <w:jc w:val="left"/>
      <w:outlineLvl w:val="5"/>
    </w:pPr>
    <w:rPr>
      <w:rFonts w:asciiTheme="minorHAnsi" w:hAnsiTheme="minorHAnsi" w:eastAsiaTheme="majorEastAsia" w:cstheme="majorBidi"/>
      <w:i/>
      <w:iCs/>
      <w:color w:val="595959" w:themeColor="text1" w:themeTint="A6"/>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5"/>
    <w:semiHidden/>
    <w:unhideWhenUsed/>
    <w:qFormat/>
    <w:uiPriority w:val="9"/>
    <w:pPr>
      <w:keepNext/>
      <w:keepLines/>
      <w:widowControl/>
      <w:spacing w:before="40" w:line="278" w:lineRule="auto"/>
      <w:jc w:val="left"/>
      <w:outlineLvl w:val="6"/>
    </w:pPr>
    <w:rPr>
      <w:rFonts w:asciiTheme="minorHAnsi" w:hAnsiTheme="minorHAnsi" w:eastAsiaTheme="majorEastAsia" w:cstheme="majorBidi"/>
      <w:color w:val="595959" w:themeColor="text1" w:themeTint="A6"/>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widowControl/>
      <w:spacing w:line="278" w:lineRule="auto"/>
      <w:jc w:val="left"/>
      <w:outlineLvl w:val="7"/>
    </w:pPr>
    <w:rPr>
      <w:rFonts w:asciiTheme="minorHAnsi" w:hAnsiTheme="minorHAnsi" w:eastAsiaTheme="majorEastAsia" w:cstheme="majorBidi"/>
      <w:i/>
      <w:iCs/>
      <w:color w:val="262626" w:themeColor="text1" w:themeTint="D9"/>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27"/>
    <w:semiHidden/>
    <w:unhideWhenUsed/>
    <w:qFormat/>
    <w:uiPriority w:val="9"/>
    <w:pPr>
      <w:keepNext/>
      <w:keepLines/>
      <w:widowControl/>
      <w:spacing w:line="278" w:lineRule="auto"/>
      <w:jc w:val="left"/>
      <w:outlineLvl w:val="8"/>
    </w:pPr>
    <w:rPr>
      <w:rFonts w:asciiTheme="minorHAnsi" w:hAnsiTheme="minorHAnsi" w:eastAsiaTheme="majorEastAsia" w:cstheme="majorBidi"/>
      <w:color w:val="262626" w:themeColor="text1" w:themeTint="D9"/>
      <w:sz w:val="24"/>
      <w:szCs w:val="24"/>
      <w14:textFill>
        <w14:solidFill>
          <w14:schemeClr w14:val="tx1">
            <w14:lumMod w14:val="85000"/>
            <w14:lumOff w14:val="15000"/>
          </w14:schemeClr>
        </w14:solidFill>
      </w14:textFill>
      <w14:ligatures w14:val="standardContextua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caption"/>
    <w:basedOn w:val="1"/>
    <w:next w:val="1"/>
    <w:link w:val="18"/>
    <w:unhideWhenUsed/>
    <w:qFormat/>
    <w:uiPriority w:val="35"/>
    <w:pPr>
      <w:widowControl/>
      <w:spacing w:after="160"/>
      <w:jc w:val="left"/>
    </w:pPr>
    <w:rPr>
      <w:rFonts w:ascii="Times New Roman" w:hAnsi="Times New Roman" w:cs="Times New Roman" w:eastAsiaTheme="minorEastAsia"/>
      <w:bCs/>
      <w:color w:val="156082" w:themeColor="accent1"/>
      <w:sz w:val="18"/>
      <w:szCs w:val="18"/>
      <w14:textFill>
        <w14:solidFill>
          <w14:schemeClr w14:val="accent1"/>
        </w14:solidFill>
      </w14:textFill>
      <w14:ligatures w14:val="standardContextual"/>
    </w:rPr>
  </w:style>
  <w:style w:type="paragraph" w:styleId="12">
    <w:name w:val="footer"/>
    <w:basedOn w:val="1"/>
    <w:link w:val="38"/>
    <w:unhideWhenUsed/>
    <w:uiPriority w:val="99"/>
    <w:pPr>
      <w:widowControl/>
      <w:tabs>
        <w:tab w:val="center" w:pos="4320"/>
        <w:tab w:val="right" w:pos="8640"/>
      </w:tabs>
      <w:jc w:val="left"/>
    </w:pPr>
    <w:rPr>
      <w:rFonts w:asciiTheme="minorHAnsi" w:hAnsiTheme="minorHAnsi" w:eastAsiaTheme="minorEastAsia" w:cstheme="minorBidi"/>
      <w:sz w:val="24"/>
      <w:szCs w:val="24"/>
      <w14:ligatures w14:val="standardContextual"/>
    </w:rPr>
  </w:style>
  <w:style w:type="paragraph" w:styleId="13">
    <w:name w:val="header"/>
    <w:basedOn w:val="1"/>
    <w:link w:val="37"/>
    <w:unhideWhenUsed/>
    <w:uiPriority w:val="99"/>
    <w:pPr>
      <w:widowControl/>
      <w:tabs>
        <w:tab w:val="center" w:pos="4320"/>
        <w:tab w:val="right" w:pos="8640"/>
      </w:tabs>
      <w:jc w:val="left"/>
    </w:pPr>
    <w:rPr>
      <w:rFonts w:asciiTheme="minorHAnsi" w:hAnsiTheme="minorHAnsi" w:eastAsiaTheme="minorEastAsia" w:cstheme="minorBidi"/>
      <w:sz w:val="24"/>
      <w:szCs w:val="24"/>
      <w14:ligatures w14:val="standardContextual"/>
    </w:rPr>
  </w:style>
  <w:style w:type="paragraph" w:styleId="14">
    <w:name w:val="Subtitle"/>
    <w:basedOn w:val="1"/>
    <w:next w:val="1"/>
    <w:link w:val="29"/>
    <w:qFormat/>
    <w:uiPriority w:val="11"/>
    <w:pPr>
      <w:widowControl/>
      <w:spacing w:after="160" w:line="278" w:lineRule="auto"/>
      <w:jc w:val="left"/>
    </w:pPr>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8"/>
    <w:qFormat/>
    <w:uiPriority w:val="10"/>
    <w:pPr>
      <w:widowControl/>
      <w:spacing w:after="80"/>
      <w:contextualSpacing/>
      <w:jc w:val="left"/>
    </w:pPr>
    <w:rPr>
      <w:rFonts w:asciiTheme="majorHAnsi" w:hAnsiTheme="majorHAnsi" w:eastAsiaTheme="majorEastAsia" w:cstheme="majorBidi"/>
      <w:spacing w:val="-10"/>
      <w:kern w:val="28"/>
      <w:sz w:val="56"/>
      <w:szCs w:val="56"/>
      <w14:ligatures w14:val="standardContextual"/>
    </w:rPr>
  </w:style>
  <w:style w:type="character" w:customStyle="1" w:styleId="18">
    <w:name w:val="题注 字符"/>
    <w:basedOn w:val="17"/>
    <w:link w:val="11"/>
    <w:uiPriority w:val="35"/>
    <w:rPr>
      <w:rFonts w:ascii="Times New Roman" w:hAnsi="Times New Roman" w:cs="Times New Roman"/>
      <w:bCs/>
      <w:color w:val="156082" w:themeColor="accent1"/>
      <w:sz w:val="18"/>
      <w:szCs w:val="18"/>
      <w14:textFill>
        <w14:solidFill>
          <w14:schemeClr w14:val="accent1"/>
        </w14:solidFill>
      </w14:textFill>
    </w:rPr>
  </w:style>
  <w:style w:type="character" w:customStyle="1" w:styleId="19">
    <w:name w:val="标题 1 字符"/>
    <w:basedOn w:val="17"/>
    <w:link w:val="2"/>
    <w:uiPriority w:val="9"/>
    <w:rPr>
      <w:rFonts w:asciiTheme="majorHAnsi" w:hAnsiTheme="majorHAnsi" w:eastAsiaTheme="majorEastAsia" w:cstheme="majorBidi"/>
      <w:color w:val="104862" w:themeColor="accent1" w:themeShade="BF"/>
      <w:sz w:val="40"/>
      <w:szCs w:val="40"/>
    </w:rPr>
  </w:style>
  <w:style w:type="character" w:customStyle="1" w:styleId="20">
    <w:name w:val="标题 2 字符"/>
    <w:basedOn w:val="17"/>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3 字符"/>
    <w:basedOn w:val="17"/>
    <w:link w:val="4"/>
    <w:semiHidden/>
    <w:uiPriority w:val="9"/>
    <w:rPr>
      <w:rFonts w:eastAsiaTheme="majorEastAsia" w:cstheme="majorBidi"/>
      <w:color w:val="104862" w:themeColor="accent1" w:themeShade="BF"/>
      <w:sz w:val="28"/>
      <w:szCs w:val="28"/>
    </w:rPr>
  </w:style>
  <w:style w:type="character" w:customStyle="1" w:styleId="22">
    <w:name w:val="标题 4 字符"/>
    <w:basedOn w:val="17"/>
    <w:link w:val="5"/>
    <w:semiHidden/>
    <w:uiPriority w:val="9"/>
    <w:rPr>
      <w:rFonts w:eastAsiaTheme="majorEastAsia" w:cstheme="majorBidi"/>
      <w:i/>
      <w:iCs/>
      <w:color w:val="104862" w:themeColor="accent1" w:themeShade="BF"/>
    </w:rPr>
  </w:style>
  <w:style w:type="character" w:customStyle="1" w:styleId="23">
    <w:name w:val="标题 5 字符"/>
    <w:basedOn w:val="17"/>
    <w:link w:val="6"/>
    <w:semiHidden/>
    <w:uiPriority w:val="9"/>
    <w:rPr>
      <w:rFonts w:eastAsiaTheme="majorEastAsia" w:cstheme="majorBidi"/>
      <w:color w:val="104862" w:themeColor="accent1" w:themeShade="BF"/>
    </w:rPr>
  </w:style>
  <w:style w:type="character" w:customStyle="1" w:styleId="24">
    <w:name w:val="标题 6 字符"/>
    <w:basedOn w:val="17"/>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标题 7 字符"/>
    <w:basedOn w:val="17"/>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标题 9 字符"/>
    <w:basedOn w:val="17"/>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widowControl/>
      <w:spacing w:before="160" w:after="160" w:line="278" w:lineRule="auto"/>
      <w:jc w:val="center"/>
    </w:pPr>
    <w:rPr>
      <w:rFonts w:asciiTheme="minorHAnsi" w:hAnsiTheme="minorHAnsi" w:eastAsiaTheme="minorEastAsia" w:cstheme="minorBidi"/>
      <w:i/>
      <w:iCs/>
      <w:color w:val="404040" w:themeColor="text1" w:themeTint="BF"/>
      <w:sz w:val="24"/>
      <w:szCs w:val="24"/>
      <w14:textFill>
        <w14:solidFill>
          <w14:schemeClr w14:val="tx1">
            <w14:lumMod w14:val="75000"/>
            <w14:lumOff w14:val="25000"/>
          </w14:schemeClr>
        </w14:solidFill>
      </w14:textFill>
      <w14:ligatures w14:val="standardContextual"/>
    </w:rPr>
  </w:style>
  <w:style w:type="character" w:customStyle="1" w:styleId="31">
    <w:name w:val="引用 字符"/>
    <w:basedOn w:val="17"/>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widowControl/>
      <w:spacing w:after="160" w:line="278" w:lineRule="auto"/>
      <w:ind w:left="720"/>
      <w:contextualSpacing/>
      <w:jc w:val="left"/>
    </w:pPr>
    <w:rPr>
      <w:rFonts w:asciiTheme="minorHAnsi" w:hAnsiTheme="minorHAnsi" w:eastAsiaTheme="minorEastAsia" w:cstheme="minorBidi"/>
      <w:sz w:val="24"/>
      <w:szCs w:val="24"/>
      <w14:ligatures w14:val="standardContextual"/>
    </w:rPr>
  </w:style>
  <w:style w:type="character" w:customStyle="1" w:styleId="33">
    <w:name w:val="Intense Emphasis"/>
    <w:basedOn w:val="17"/>
    <w:qFormat/>
    <w:uiPriority w:val="21"/>
    <w:rPr>
      <w:i/>
      <w:iCs/>
      <w:color w:val="104862" w:themeColor="accent1" w:themeShade="BF"/>
    </w:rPr>
  </w:style>
  <w:style w:type="paragraph" w:styleId="34">
    <w:name w:val="Intense Quote"/>
    <w:basedOn w:val="1"/>
    <w:next w:val="1"/>
    <w:link w:val="35"/>
    <w:qFormat/>
    <w:uiPriority w:val="30"/>
    <w:pPr>
      <w:widowControl/>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4"/>
      <w:szCs w:val="24"/>
      <w14:ligatures w14:val="standardContextual"/>
    </w:rPr>
  </w:style>
  <w:style w:type="character" w:customStyle="1" w:styleId="35">
    <w:name w:val="明显引用 字符"/>
    <w:basedOn w:val="17"/>
    <w:link w:val="34"/>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眉 字符"/>
    <w:basedOn w:val="17"/>
    <w:link w:val="13"/>
    <w:uiPriority w:val="99"/>
  </w:style>
  <w:style w:type="character" w:customStyle="1" w:styleId="38">
    <w:name w:val="页脚 字符"/>
    <w:basedOn w:val="17"/>
    <w:link w:val="12"/>
    <w:uiPriority w:val="99"/>
  </w:style>
  <w:style w:type="character" w:customStyle="1" w:styleId="39">
    <w:name w:val="text_xm6vq"/>
    <w:basedOn w:val="17"/>
    <w:qFormat/>
    <w:uiPriority w:val="0"/>
  </w:style>
  <w:style w:type="paragraph" w:customStyle="1" w:styleId="40">
    <w:name w:val="Default"/>
    <w:uiPriority w:val="0"/>
    <w:pPr>
      <w:widowControl w:val="0"/>
      <w:autoSpaceDE w:val="0"/>
      <w:autoSpaceDN w:val="0"/>
      <w:adjustRightInd w:val="0"/>
      <w:spacing w:after="0" w:line="240" w:lineRule="auto"/>
    </w:pPr>
    <w:rPr>
      <w:rFonts w:ascii="宋体" w:eastAsia="宋体" w:cs="宋体" w:hAnsiTheme="minorHAnsi"/>
      <w:color w:val="000000"/>
      <w:kern w:val="0"/>
      <w:sz w:val="24"/>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3</Pages>
  <Words>801</Words>
  <Characters>820</Characters>
  <Lines>37</Lines>
  <Paragraphs>63</Paragraphs>
  <TotalTime>22</TotalTime>
  <ScaleCrop>false</ScaleCrop>
  <LinksUpToDate>false</LinksUpToDate>
  <CharactersWithSpaces>830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2026-05-18T02:03:00Z</dcterms:created>
  <dc:creator>YZ</dc:creator>
  <cp:lastModifiedBy>郝曦妍</cp:lastModifiedBy>
  <dcterms:modified xsi:type="dcterms:W3CDTF">2026-06-15T09:44:07Z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eyJoZGlkIjoiNzY0ZTc5MTM3MGFlYTZlNThlOTA5NzVmYmNiNzcwNDgiLCJ1c2VySWQiOiIxNjkyODUxNjM0In0=</vt:lpwstr>
  </property>
  <property fmtid="{D5CDD505-2E9C-101B-9397-08002B2CF9AE}" pid="3" name="KSOProductBuildVer">
    <vt:lpwstr>2052-12.1.0.23125</vt:lpwstr>
  </property>
  <property fmtid="{D5CDD505-2E9C-101B-9397-08002B2CF9AE}" pid="4" name="ICV">
    <vt:lpwstr>8C71FAF3712A46B6A29E6086156F9530_12</vt:lpwstr>
  </property>
</Properties>
</file>